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7A0D" w14:textId="77777777" w:rsidR="00D247A9" w:rsidRPr="00B045BB" w:rsidRDefault="00D247A9" w:rsidP="00D247A9">
      <w:pPr>
        <w:spacing w:after="0" w:line="240" w:lineRule="auto"/>
        <w:rPr>
          <w:rFonts w:asciiTheme="minorHAnsi" w:hAnsiTheme="minorHAnsi" w:cstheme="minorHAnsi"/>
          <w:b/>
          <w:bCs/>
          <w:sz w:val="24"/>
          <w:szCs w:val="24"/>
          <w:lang w:val="en-AU"/>
        </w:rPr>
      </w:pPr>
    </w:p>
    <w:p w14:paraId="2306F74D" w14:textId="77777777" w:rsidR="00F51635" w:rsidRPr="00B045BB" w:rsidRDefault="00F51635" w:rsidP="008A7B79">
      <w:pPr>
        <w:spacing w:after="0" w:line="240" w:lineRule="auto"/>
        <w:jc w:val="center"/>
        <w:rPr>
          <w:rFonts w:asciiTheme="minorHAnsi" w:eastAsia="Times New Roman" w:hAnsiTheme="minorHAnsi" w:cstheme="minorHAnsi"/>
          <w:b/>
          <w:color w:val="000000"/>
          <w:sz w:val="24"/>
          <w:szCs w:val="24"/>
          <w:lang w:eastAsia="en-NZ"/>
        </w:rPr>
      </w:pPr>
    </w:p>
    <w:p w14:paraId="5D4A0FC0" w14:textId="77777777" w:rsidR="00F51635" w:rsidRPr="00B045BB" w:rsidRDefault="00F51635" w:rsidP="008A7B79">
      <w:pPr>
        <w:spacing w:after="0" w:line="240" w:lineRule="auto"/>
        <w:jc w:val="center"/>
        <w:rPr>
          <w:rFonts w:asciiTheme="minorHAnsi" w:eastAsia="Times New Roman" w:hAnsiTheme="minorHAnsi" w:cstheme="minorHAnsi"/>
          <w:b/>
          <w:color w:val="000000"/>
          <w:sz w:val="24"/>
          <w:szCs w:val="24"/>
          <w:lang w:eastAsia="en-NZ"/>
        </w:rPr>
      </w:pPr>
    </w:p>
    <w:p w14:paraId="7D4B1D3A"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45AD2A2A"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1F375CE9"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29F40D58"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12B0B360"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1FDE2B84"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29381EED"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690737DF"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54F754AE"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2F787BEA" w14:textId="77777777" w:rsidR="008717D1" w:rsidRPr="00B045BB" w:rsidRDefault="00322E35" w:rsidP="008A7B79">
      <w:pPr>
        <w:spacing w:after="0" w:line="240" w:lineRule="auto"/>
        <w:jc w:val="center"/>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IHC and Inclusive Education Action Group</w:t>
      </w:r>
    </w:p>
    <w:p w14:paraId="3C369EA5" w14:textId="77777777" w:rsidR="008717D1" w:rsidRPr="00B045BB" w:rsidRDefault="008717D1" w:rsidP="008A7B79">
      <w:pPr>
        <w:spacing w:after="0" w:line="240" w:lineRule="auto"/>
        <w:jc w:val="center"/>
        <w:rPr>
          <w:rFonts w:asciiTheme="minorHAnsi" w:eastAsia="Times New Roman" w:hAnsiTheme="minorHAnsi" w:cstheme="minorHAnsi"/>
          <w:b/>
          <w:color w:val="000000"/>
          <w:sz w:val="24"/>
          <w:szCs w:val="24"/>
          <w:lang w:eastAsia="en-NZ"/>
        </w:rPr>
      </w:pPr>
    </w:p>
    <w:p w14:paraId="1670E33B" w14:textId="77777777" w:rsidR="008A7B79" w:rsidRPr="00B045BB" w:rsidRDefault="00322E35" w:rsidP="008A7B79">
      <w:pPr>
        <w:spacing w:after="0" w:line="240" w:lineRule="auto"/>
        <w:jc w:val="center"/>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 xml:space="preserve">Joint </w:t>
      </w:r>
      <w:r w:rsidR="008A7B79" w:rsidRPr="00B045BB">
        <w:rPr>
          <w:rFonts w:asciiTheme="minorHAnsi" w:eastAsia="Times New Roman" w:hAnsiTheme="minorHAnsi" w:cstheme="minorHAnsi"/>
          <w:b/>
          <w:color w:val="000000"/>
          <w:sz w:val="24"/>
          <w:szCs w:val="24"/>
          <w:lang w:eastAsia="en-NZ"/>
        </w:rPr>
        <w:t>Submission</w:t>
      </w:r>
    </w:p>
    <w:p w14:paraId="03CA0642" w14:textId="77777777" w:rsidR="00322E35" w:rsidRPr="00B045BB" w:rsidRDefault="00322E35" w:rsidP="008A7B79">
      <w:pPr>
        <w:spacing w:after="0" w:line="240" w:lineRule="auto"/>
        <w:jc w:val="center"/>
        <w:rPr>
          <w:rFonts w:asciiTheme="minorHAnsi" w:eastAsia="Times New Roman" w:hAnsiTheme="minorHAnsi" w:cstheme="minorHAnsi"/>
          <w:b/>
          <w:color w:val="000000"/>
          <w:sz w:val="24"/>
          <w:szCs w:val="24"/>
          <w:lang w:eastAsia="en-NZ"/>
        </w:rPr>
      </w:pPr>
    </w:p>
    <w:p w14:paraId="785ED1D0" w14:textId="77777777" w:rsidR="008A7B79" w:rsidRPr="00B045BB" w:rsidRDefault="008A7B79" w:rsidP="00C32FA5">
      <w:pPr>
        <w:spacing w:after="0" w:line="240" w:lineRule="auto"/>
        <w:jc w:val="center"/>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Combined Second and Third Periodic Report of New Zealand – United Nations</w:t>
      </w:r>
      <w:r w:rsidR="00C32FA5" w:rsidRPr="00B045BB">
        <w:rPr>
          <w:rFonts w:asciiTheme="minorHAnsi" w:eastAsia="Times New Roman" w:hAnsiTheme="minorHAnsi" w:cstheme="minorHAnsi"/>
          <w:b/>
          <w:color w:val="000000"/>
          <w:sz w:val="24"/>
          <w:szCs w:val="24"/>
          <w:lang w:eastAsia="en-NZ"/>
        </w:rPr>
        <w:t xml:space="preserve"> </w:t>
      </w:r>
      <w:r w:rsidRPr="00B045BB">
        <w:rPr>
          <w:rFonts w:asciiTheme="minorHAnsi" w:eastAsia="Times New Roman" w:hAnsiTheme="minorHAnsi" w:cstheme="minorHAnsi"/>
          <w:b/>
          <w:color w:val="000000"/>
          <w:sz w:val="24"/>
          <w:szCs w:val="24"/>
          <w:lang w:eastAsia="en-NZ"/>
        </w:rPr>
        <w:t>Convention on the Rights of Persons with Disabilities</w:t>
      </w:r>
    </w:p>
    <w:p w14:paraId="68A40F79" w14:textId="77777777" w:rsidR="008A7B79" w:rsidRPr="00B045BB" w:rsidRDefault="008A7B79" w:rsidP="00D405BF">
      <w:pPr>
        <w:spacing w:after="0" w:line="240" w:lineRule="auto"/>
        <w:rPr>
          <w:rFonts w:asciiTheme="minorHAnsi" w:eastAsia="Times New Roman" w:hAnsiTheme="minorHAnsi" w:cstheme="minorHAnsi"/>
          <w:color w:val="000000"/>
          <w:sz w:val="24"/>
          <w:szCs w:val="24"/>
          <w:lang w:eastAsia="en-NZ"/>
        </w:rPr>
      </w:pPr>
    </w:p>
    <w:p w14:paraId="78F278FC" w14:textId="77777777" w:rsidR="00D405BF" w:rsidRPr="00B045BB" w:rsidRDefault="008A7B79" w:rsidP="008A7B79">
      <w:pPr>
        <w:spacing w:after="0" w:line="240" w:lineRule="auto"/>
        <w:jc w:val="right"/>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 xml:space="preserve">22 July 2022 </w:t>
      </w:r>
    </w:p>
    <w:p w14:paraId="09184832" w14:textId="77777777" w:rsidR="00D405BF" w:rsidRPr="00B045BB" w:rsidRDefault="00D405BF" w:rsidP="00D405BF">
      <w:pPr>
        <w:spacing w:after="0" w:line="240" w:lineRule="auto"/>
        <w:rPr>
          <w:rFonts w:asciiTheme="minorHAnsi" w:eastAsia="Times New Roman" w:hAnsiTheme="minorHAnsi" w:cstheme="minorHAnsi"/>
          <w:color w:val="000000"/>
          <w:sz w:val="24"/>
          <w:szCs w:val="24"/>
          <w:lang w:eastAsia="en-NZ"/>
        </w:rPr>
      </w:pPr>
    </w:p>
    <w:p w14:paraId="03966854" w14:textId="77777777" w:rsidR="00B90A6B" w:rsidRPr="00B045BB" w:rsidRDefault="00B90A6B" w:rsidP="00DE0E66">
      <w:pPr>
        <w:spacing w:after="240" w:line="240" w:lineRule="auto"/>
        <w:rPr>
          <w:rFonts w:asciiTheme="minorHAnsi" w:eastAsia="Times New Roman" w:hAnsiTheme="minorHAnsi" w:cstheme="minorHAnsi"/>
          <w:sz w:val="24"/>
          <w:szCs w:val="24"/>
          <w:lang w:eastAsia="en-NZ"/>
        </w:rPr>
      </w:pPr>
    </w:p>
    <w:p w14:paraId="3C2D20E7"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2A541536"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76BE838B"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05C95DEA"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19249B93"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2C710768"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0735F2AF"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3BABC525"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47B6DE4E"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4D7B2336" w14:textId="77777777" w:rsidR="008A7B79" w:rsidRPr="00B045BB" w:rsidRDefault="008A7B79" w:rsidP="00DE0E66">
      <w:pPr>
        <w:spacing w:after="240" w:line="240" w:lineRule="auto"/>
        <w:rPr>
          <w:rFonts w:asciiTheme="minorHAnsi" w:eastAsia="Times New Roman" w:hAnsiTheme="minorHAnsi" w:cstheme="minorHAnsi"/>
          <w:sz w:val="24"/>
          <w:szCs w:val="24"/>
          <w:lang w:eastAsia="en-NZ"/>
        </w:rPr>
      </w:pPr>
    </w:p>
    <w:p w14:paraId="0802B666" w14:textId="77777777" w:rsidR="002C6114" w:rsidRPr="00B045BB" w:rsidRDefault="002C6114" w:rsidP="002C6114">
      <w:pPr>
        <w:spacing w:after="240" w:line="240" w:lineRule="auto"/>
        <w:rPr>
          <w:rFonts w:asciiTheme="minorHAnsi" w:eastAsia="Times New Roman" w:hAnsiTheme="minorHAnsi" w:cstheme="minorHAnsi"/>
          <w:sz w:val="24"/>
          <w:szCs w:val="24"/>
          <w:lang w:eastAsia="en-NZ"/>
        </w:rPr>
      </w:pPr>
      <w:r w:rsidRPr="00B045BB">
        <w:rPr>
          <w:rFonts w:asciiTheme="minorHAnsi" w:hAnsiTheme="minorHAnsi" w:cstheme="minorHAnsi"/>
          <w:noProof/>
          <w:sz w:val="24"/>
          <w:szCs w:val="24"/>
          <w:lang w:eastAsia="en-NZ" w:bidi="ar-SA"/>
        </w:rPr>
        <w:drawing>
          <wp:anchor distT="0" distB="0" distL="114300" distR="114300" simplePos="0" relativeHeight="251658240" behindDoc="0" locked="0" layoutInCell="1" allowOverlap="1" wp14:anchorId="276F3F9F" wp14:editId="71E87254">
            <wp:simplePos x="0" y="0"/>
            <wp:positionH relativeFrom="margin">
              <wp:posOffset>3790950</wp:posOffset>
            </wp:positionH>
            <wp:positionV relativeFrom="margin">
              <wp:posOffset>7896225</wp:posOffset>
            </wp:positionV>
            <wp:extent cx="1924050" cy="1026160"/>
            <wp:effectExtent l="0" t="0" r="0" b="2540"/>
            <wp:wrapSquare wrapText="bothSides"/>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26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45BB">
        <w:rPr>
          <w:rFonts w:asciiTheme="minorHAnsi" w:hAnsiTheme="minorHAnsi" w:cstheme="minorHAnsi"/>
          <w:noProof/>
          <w:sz w:val="24"/>
          <w:szCs w:val="24"/>
          <w:lang w:eastAsia="en-NZ" w:bidi="ar-SA"/>
        </w:rPr>
        <w:drawing>
          <wp:anchor distT="0" distB="0" distL="114300" distR="114300" simplePos="0" relativeHeight="251659264" behindDoc="0" locked="0" layoutInCell="1" allowOverlap="1" wp14:anchorId="7D76E9DD" wp14:editId="55F6AC1C">
            <wp:simplePos x="914400" y="8382000"/>
            <wp:positionH relativeFrom="margin">
              <wp:align>left</wp:align>
            </wp:positionH>
            <wp:positionV relativeFrom="margin">
              <wp:align>bottom</wp:align>
            </wp:positionV>
            <wp:extent cx="1990725" cy="137985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872" cy="1383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B79" w:rsidRPr="00B045BB">
        <w:rPr>
          <w:rFonts w:asciiTheme="minorHAnsi" w:eastAsia="Times New Roman" w:hAnsiTheme="minorHAnsi" w:cstheme="minorHAnsi"/>
          <w:color w:val="000000"/>
          <w:sz w:val="24"/>
          <w:szCs w:val="24"/>
          <w:lang w:eastAsia="en-NZ"/>
        </w:rPr>
        <w:t xml:space="preserve"> </w:t>
      </w:r>
    </w:p>
    <w:p w14:paraId="6B1C0A1E" w14:textId="77777777" w:rsidR="002C6114" w:rsidRPr="00B045BB" w:rsidRDefault="002C6114" w:rsidP="002C6114">
      <w:pPr>
        <w:spacing w:after="240" w:line="240" w:lineRule="auto"/>
        <w:rPr>
          <w:rFonts w:asciiTheme="minorHAnsi" w:eastAsia="Times New Roman" w:hAnsiTheme="minorHAnsi" w:cstheme="minorHAnsi"/>
          <w:sz w:val="24"/>
          <w:szCs w:val="24"/>
          <w:lang w:eastAsia="en-NZ"/>
        </w:rPr>
      </w:pPr>
    </w:p>
    <w:p w14:paraId="2DBD2167" w14:textId="77777777" w:rsidR="002C6114" w:rsidRPr="00B045BB" w:rsidRDefault="002C6114" w:rsidP="002C6114">
      <w:pPr>
        <w:spacing w:after="0" w:line="240" w:lineRule="auto"/>
        <w:rPr>
          <w:rFonts w:asciiTheme="minorHAnsi" w:eastAsia="Times New Roman" w:hAnsiTheme="minorHAnsi" w:cstheme="minorHAnsi"/>
          <w:b/>
          <w:color w:val="000000"/>
          <w:sz w:val="24"/>
          <w:szCs w:val="24"/>
          <w:lang w:eastAsia="en-NZ"/>
        </w:rPr>
      </w:pPr>
    </w:p>
    <w:p w14:paraId="4BB733AD" w14:textId="77777777" w:rsidR="002C6114" w:rsidRPr="00B045BB" w:rsidRDefault="002C6114" w:rsidP="002C6114">
      <w:pPr>
        <w:spacing w:after="0" w:line="240" w:lineRule="auto"/>
        <w:rPr>
          <w:rFonts w:asciiTheme="minorHAnsi" w:eastAsia="Times New Roman" w:hAnsiTheme="minorHAnsi" w:cstheme="minorHAnsi"/>
          <w:b/>
          <w:color w:val="000000"/>
          <w:sz w:val="24"/>
          <w:szCs w:val="24"/>
          <w:lang w:eastAsia="en-NZ"/>
        </w:rPr>
      </w:pPr>
    </w:p>
    <w:p w14:paraId="4E4643B8" w14:textId="77777777" w:rsidR="002C6114" w:rsidRPr="00B045BB" w:rsidRDefault="002C6114" w:rsidP="002C6114">
      <w:pPr>
        <w:spacing w:after="0" w:line="240" w:lineRule="auto"/>
        <w:rPr>
          <w:rFonts w:asciiTheme="minorHAnsi" w:eastAsia="Times New Roman" w:hAnsiTheme="minorHAnsi" w:cstheme="minorHAnsi"/>
          <w:b/>
          <w:color w:val="000000"/>
          <w:sz w:val="24"/>
          <w:szCs w:val="24"/>
          <w:lang w:eastAsia="en-NZ"/>
        </w:rPr>
      </w:pPr>
    </w:p>
    <w:p w14:paraId="4E1D789A" w14:textId="77777777" w:rsidR="002C6114" w:rsidRPr="00B045BB" w:rsidRDefault="002C6114" w:rsidP="002C6114">
      <w:pPr>
        <w:spacing w:after="0" w:line="240" w:lineRule="auto"/>
        <w:rPr>
          <w:rFonts w:asciiTheme="minorHAnsi" w:eastAsia="Times New Roman" w:hAnsiTheme="minorHAnsi" w:cstheme="minorHAnsi"/>
          <w:b/>
          <w:color w:val="000000"/>
          <w:sz w:val="24"/>
          <w:szCs w:val="24"/>
          <w:lang w:eastAsia="en-NZ"/>
        </w:rPr>
      </w:pPr>
    </w:p>
    <w:p w14:paraId="5BA89511" w14:textId="77777777" w:rsidR="002C6114" w:rsidRPr="00B045BB" w:rsidRDefault="002C6114" w:rsidP="002C6114">
      <w:pPr>
        <w:spacing w:after="0" w:line="240" w:lineRule="auto"/>
        <w:rPr>
          <w:rFonts w:asciiTheme="minorHAnsi" w:eastAsia="Times New Roman" w:hAnsiTheme="minorHAnsi" w:cstheme="minorHAnsi"/>
          <w:b/>
          <w:color w:val="000000"/>
          <w:sz w:val="24"/>
          <w:szCs w:val="24"/>
          <w:lang w:eastAsia="en-NZ"/>
        </w:rPr>
      </w:pPr>
    </w:p>
    <w:p w14:paraId="55FE5E62" w14:textId="138983E8" w:rsidR="002C6114" w:rsidRPr="00A13858" w:rsidRDefault="002C6114" w:rsidP="00A13858">
      <w:pPr>
        <w:spacing w:after="0" w:line="240" w:lineRule="auto"/>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 xml:space="preserve">Introduction </w:t>
      </w:r>
    </w:p>
    <w:p w14:paraId="1A77C9F8" w14:textId="64331D4A" w:rsidR="00337B23" w:rsidRPr="00B045BB" w:rsidRDefault="002C6114" w:rsidP="002C6114">
      <w:pPr>
        <w:pStyle w:val="ListParagraph"/>
        <w:numPr>
          <w:ilvl w:val="0"/>
          <w:numId w:val="7"/>
        </w:numPr>
        <w:spacing w:before="100" w:beforeAutospacing="1" w:after="100" w:afterAutospacing="1"/>
        <w:rPr>
          <w:rFonts w:eastAsia="Times New Roman" w:cstheme="minorHAnsi"/>
          <w:sz w:val="24"/>
          <w:szCs w:val="24"/>
          <w:lang w:eastAsia="en-NZ"/>
        </w:rPr>
      </w:pPr>
      <w:r w:rsidRPr="00B045BB">
        <w:rPr>
          <w:rFonts w:eastAsia="Times New Roman" w:cstheme="minorHAnsi"/>
          <w:color w:val="000000"/>
          <w:sz w:val="24"/>
          <w:szCs w:val="24"/>
          <w:lang w:eastAsia="en-NZ"/>
        </w:rPr>
        <w:t xml:space="preserve">IHC </w:t>
      </w:r>
      <w:r w:rsidR="0065514C" w:rsidRPr="00B045BB">
        <w:rPr>
          <w:rFonts w:eastAsia="Times New Roman" w:cstheme="minorHAnsi"/>
          <w:color w:val="000000"/>
          <w:sz w:val="24"/>
          <w:szCs w:val="24"/>
          <w:lang w:eastAsia="en-NZ"/>
        </w:rPr>
        <w:t>New Zealand</w:t>
      </w:r>
      <w:r w:rsidR="00D45D41">
        <w:rPr>
          <w:rFonts w:eastAsia="Times New Roman" w:cstheme="minorHAnsi"/>
          <w:color w:val="000000"/>
          <w:sz w:val="24"/>
          <w:szCs w:val="24"/>
          <w:lang w:eastAsia="en-NZ"/>
        </w:rPr>
        <w:t xml:space="preserve"> (</w:t>
      </w:r>
      <w:proofErr w:type="gramStart"/>
      <w:r w:rsidR="00D45D41">
        <w:rPr>
          <w:rFonts w:eastAsia="Times New Roman" w:cstheme="minorHAnsi"/>
          <w:color w:val="000000"/>
          <w:sz w:val="24"/>
          <w:szCs w:val="24"/>
          <w:lang w:eastAsia="en-NZ"/>
        </w:rPr>
        <w:t xml:space="preserve">IHC) </w:t>
      </w:r>
      <w:r w:rsidR="0065514C"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and</w:t>
      </w:r>
      <w:proofErr w:type="gramEnd"/>
      <w:r w:rsidRPr="00B045BB">
        <w:rPr>
          <w:rFonts w:eastAsia="Times New Roman" w:cstheme="minorHAnsi"/>
          <w:color w:val="000000"/>
          <w:sz w:val="24"/>
          <w:szCs w:val="24"/>
          <w:lang w:eastAsia="en-NZ"/>
        </w:rPr>
        <w:t xml:space="preserve"> </w:t>
      </w:r>
      <w:r w:rsidR="0065514C" w:rsidRPr="00B045BB">
        <w:rPr>
          <w:rFonts w:eastAsia="Times New Roman" w:cstheme="minorHAnsi"/>
          <w:color w:val="000000"/>
          <w:sz w:val="24"/>
          <w:szCs w:val="24"/>
          <w:lang w:eastAsia="en-NZ"/>
        </w:rPr>
        <w:t xml:space="preserve"> the </w:t>
      </w:r>
      <w:r w:rsidRPr="00B045BB">
        <w:rPr>
          <w:rFonts w:eastAsia="Times New Roman" w:cstheme="minorHAnsi"/>
          <w:color w:val="000000"/>
          <w:sz w:val="24"/>
          <w:szCs w:val="24"/>
          <w:lang w:eastAsia="en-NZ"/>
        </w:rPr>
        <w:t>Inclusive Edu</w:t>
      </w:r>
      <w:r w:rsidR="008A7B79" w:rsidRPr="00B045BB">
        <w:rPr>
          <w:rFonts w:eastAsia="Times New Roman" w:cstheme="minorHAnsi"/>
          <w:color w:val="000000"/>
          <w:sz w:val="24"/>
          <w:szCs w:val="24"/>
          <w:lang w:eastAsia="en-NZ"/>
        </w:rPr>
        <w:t xml:space="preserve">cation Action Group (IEAG) thank the Committee on the </w:t>
      </w:r>
      <w:r w:rsidR="00337B23" w:rsidRPr="00B045BB">
        <w:rPr>
          <w:rFonts w:eastAsia="Times New Roman" w:cstheme="minorHAnsi"/>
          <w:color w:val="000000"/>
          <w:sz w:val="24"/>
          <w:szCs w:val="24"/>
          <w:lang w:eastAsia="en-NZ"/>
        </w:rPr>
        <w:t xml:space="preserve">Rights of Persons with Disabilities (Committee) for the opportunity to make a </w:t>
      </w:r>
      <w:r w:rsidR="00932563" w:rsidRPr="00B045BB">
        <w:rPr>
          <w:rFonts w:eastAsia="Times New Roman" w:cstheme="minorHAnsi"/>
          <w:color w:val="000000"/>
          <w:sz w:val="24"/>
          <w:szCs w:val="24"/>
          <w:lang w:eastAsia="en-NZ"/>
        </w:rPr>
        <w:t xml:space="preserve">joint </w:t>
      </w:r>
      <w:r w:rsidR="00337B23" w:rsidRPr="00B045BB">
        <w:rPr>
          <w:rFonts w:eastAsia="Times New Roman" w:cstheme="minorHAnsi"/>
          <w:color w:val="000000"/>
          <w:sz w:val="24"/>
          <w:szCs w:val="24"/>
          <w:lang w:eastAsia="en-NZ"/>
        </w:rPr>
        <w:t>submission on the Combined Second and Third Periodic Report - United Nations Convention on the Rights of Persons with Disabilities (New Zealand Report).</w:t>
      </w:r>
    </w:p>
    <w:p w14:paraId="008BE5F2" w14:textId="77777777" w:rsidR="00337B23" w:rsidRPr="00B045BB" w:rsidRDefault="00337B23" w:rsidP="00337B23">
      <w:pPr>
        <w:pStyle w:val="ListParagraph"/>
        <w:spacing w:before="100" w:beforeAutospacing="1" w:after="100" w:afterAutospacing="1"/>
        <w:ind w:left="360"/>
        <w:rPr>
          <w:rFonts w:cstheme="minorHAnsi"/>
          <w:sz w:val="24"/>
          <w:szCs w:val="24"/>
        </w:rPr>
      </w:pPr>
    </w:p>
    <w:p w14:paraId="7F50B492" w14:textId="1C151128" w:rsidR="00D45D41" w:rsidRDefault="005139BC" w:rsidP="00A13858">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IHC</w:t>
      </w:r>
      <w:r w:rsidRPr="00B045BB">
        <w:rPr>
          <w:rFonts w:eastAsia="Calibri" w:cstheme="minorHAnsi"/>
          <w:color w:val="222222"/>
          <w:sz w:val="24"/>
          <w:szCs w:val="24"/>
          <w:lang w:bidi="he-IL"/>
        </w:rPr>
        <w:t xml:space="preserve"> is the largest disability advocacy and service provider organisation in New Zealand and a leader in the disability sector. IHC advocates for the rights, inclusion and welfare of over 50,000 people in New Zealand with an intellectual disability.  The organisation was established 70 years ago by parents of children with intellectual disabilities. It has over 2500 family and individual members and provides support and advocacy for people with an intellectual disability and their families. IHC’s vision for people with an intellectual disability is to live satisfying lives in the community. </w:t>
      </w:r>
      <w:r w:rsidRPr="00B045BB">
        <w:rPr>
          <w:rFonts w:cstheme="minorHAnsi"/>
          <w:color w:val="222222"/>
          <w:sz w:val="24"/>
          <w:szCs w:val="24"/>
        </w:rPr>
        <w:t>IHC has a long history of advocacy for education.  It was an integral part of the lobby to create a legal right to education for disabled children which was implemented as section 8 of the Education Act 1989</w:t>
      </w:r>
      <w:r w:rsidR="00D45D41">
        <w:rPr>
          <w:rFonts w:cstheme="minorHAnsi"/>
          <w:color w:val="222222"/>
          <w:sz w:val="24"/>
          <w:szCs w:val="24"/>
        </w:rPr>
        <w:t xml:space="preserve"> </w:t>
      </w:r>
      <w:proofErr w:type="gramStart"/>
      <w:r w:rsidR="00D45D41">
        <w:rPr>
          <w:rFonts w:cstheme="minorHAnsi"/>
          <w:color w:val="222222"/>
          <w:sz w:val="24"/>
          <w:szCs w:val="24"/>
        </w:rPr>
        <w:t>( now</w:t>
      </w:r>
      <w:proofErr w:type="gramEnd"/>
      <w:r w:rsidR="00D45D41">
        <w:rPr>
          <w:rFonts w:cstheme="minorHAnsi"/>
          <w:color w:val="222222"/>
          <w:sz w:val="24"/>
          <w:szCs w:val="24"/>
        </w:rPr>
        <w:t xml:space="preserve">  s.</w:t>
      </w:r>
      <w:r w:rsidR="00D45D41">
        <w:rPr>
          <w:rFonts w:eastAsia="Times New Roman" w:cstheme="minorHAnsi"/>
          <w:color w:val="000000"/>
          <w:sz w:val="24"/>
          <w:szCs w:val="24"/>
          <w:lang w:eastAsia="en-NZ"/>
        </w:rPr>
        <w:t>34 Education and Training Act 2020).</w:t>
      </w:r>
    </w:p>
    <w:p w14:paraId="0007C527" w14:textId="77777777" w:rsidR="00A13858" w:rsidRPr="00A13858" w:rsidRDefault="00A13858" w:rsidP="00A13858">
      <w:pPr>
        <w:pStyle w:val="ListParagraph"/>
        <w:rPr>
          <w:rFonts w:eastAsia="Times New Roman" w:cstheme="minorHAnsi"/>
          <w:color w:val="000000"/>
          <w:sz w:val="24"/>
          <w:szCs w:val="24"/>
          <w:lang w:eastAsia="en-NZ"/>
        </w:rPr>
      </w:pPr>
    </w:p>
    <w:p w14:paraId="6F3FDCD5" w14:textId="77777777" w:rsidR="00A13858" w:rsidRPr="00A13858" w:rsidRDefault="00A13858" w:rsidP="00A13858">
      <w:pPr>
        <w:pStyle w:val="ListParagraph"/>
        <w:spacing w:before="100" w:beforeAutospacing="1" w:after="100" w:afterAutospacing="1"/>
        <w:ind w:left="360"/>
        <w:rPr>
          <w:rFonts w:eastAsia="Times New Roman" w:cstheme="minorHAnsi"/>
          <w:color w:val="000000"/>
          <w:sz w:val="24"/>
          <w:szCs w:val="24"/>
          <w:lang w:eastAsia="en-NZ"/>
        </w:rPr>
      </w:pPr>
    </w:p>
    <w:p w14:paraId="51F01DAF" w14:textId="77777777" w:rsidR="008A7B79" w:rsidRPr="00B045BB" w:rsidRDefault="008A7B79" w:rsidP="00337B23">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 xml:space="preserve">IEAG is a registered charity established in 2008 by a group of </w:t>
      </w:r>
      <w:r w:rsidR="000F4A36" w:rsidRPr="00B045BB">
        <w:rPr>
          <w:rFonts w:eastAsia="Times New Roman" w:cstheme="minorHAnsi"/>
          <w:color w:val="000000"/>
          <w:sz w:val="24"/>
          <w:szCs w:val="24"/>
          <w:lang w:eastAsia="en-NZ"/>
        </w:rPr>
        <w:t xml:space="preserve">disabled </w:t>
      </w:r>
      <w:r w:rsidRPr="00B045BB">
        <w:rPr>
          <w:rFonts w:eastAsia="Times New Roman" w:cstheme="minorHAnsi"/>
          <w:color w:val="000000"/>
          <w:sz w:val="24"/>
          <w:szCs w:val="24"/>
          <w:lang w:eastAsia="en-NZ"/>
        </w:rPr>
        <w:t>people</w:t>
      </w:r>
      <w:r w:rsidR="000F4A36" w:rsidRPr="00B045BB">
        <w:rPr>
          <w:rFonts w:eastAsia="Times New Roman" w:cstheme="minorHAnsi"/>
          <w:color w:val="000000"/>
          <w:sz w:val="24"/>
          <w:szCs w:val="24"/>
          <w:lang w:eastAsia="en-NZ"/>
        </w:rPr>
        <w:t xml:space="preserve">, family </w:t>
      </w:r>
      <w:r w:rsidR="006A0D9E" w:rsidRPr="00B045BB">
        <w:rPr>
          <w:rFonts w:eastAsia="Times New Roman" w:cstheme="minorHAnsi"/>
          <w:color w:val="000000"/>
          <w:sz w:val="24"/>
          <w:szCs w:val="24"/>
          <w:lang w:eastAsia="en-NZ"/>
        </w:rPr>
        <w:t>m</w:t>
      </w:r>
      <w:r w:rsidR="000F4A36" w:rsidRPr="00B045BB">
        <w:rPr>
          <w:rFonts w:eastAsia="Times New Roman" w:cstheme="minorHAnsi"/>
          <w:color w:val="000000"/>
          <w:sz w:val="24"/>
          <w:szCs w:val="24"/>
          <w:lang w:eastAsia="en-NZ"/>
        </w:rPr>
        <w:t>embers of disabled people</w:t>
      </w:r>
      <w:r w:rsidR="006A0D9E" w:rsidRPr="00B045BB">
        <w:rPr>
          <w:rFonts w:eastAsia="Times New Roman" w:cstheme="minorHAnsi"/>
          <w:color w:val="000000"/>
          <w:sz w:val="24"/>
          <w:szCs w:val="24"/>
          <w:lang w:eastAsia="en-NZ"/>
        </w:rPr>
        <w:t>, educators and researchers</w:t>
      </w:r>
      <w:r w:rsidRPr="00B045BB">
        <w:rPr>
          <w:rFonts w:eastAsia="Times New Roman" w:cstheme="minorHAnsi"/>
          <w:color w:val="000000"/>
          <w:sz w:val="24"/>
          <w:szCs w:val="24"/>
          <w:lang w:eastAsia="en-NZ"/>
        </w:rPr>
        <w:t xml:space="preserve"> committed to children’s rights. </w:t>
      </w:r>
      <w:r w:rsidR="00337B23" w:rsidRPr="00B045BB">
        <w:rPr>
          <w:rFonts w:eastAsia="Times New Roman" w:cstheme="minorHAnsi"/>
          <w:color w:val="000000"/>
          <w:sz w:val="24"/>
          <w:szCs w:val="24"/>
          <w:lang w:eastAsia="en-NZ"/>
        </w:rPr>
        <w:t xml:space="preserve">The Governing </w:t>
      </w:r>
      <w:r w:rsidR="00C63D13" w:rsidRPr="00B045BB">
        <w:rPr>
          <w:rFonts w:eastAsia="Times New Roman" w:cstheme="minorHAnsi"/>
          <w:color w:val="000000"/>
          <w:sz w:val="24"/>
          <w:szCs w:val="24"/>
          <w:lang w:eastAsia="en-NZ"/>
        </w:rPr>
        <w:t>Committee comprises</w:t>
      </w:r>
      <w:r w:rsidR="00337B23" w:rsidRPr="00B045BB">
        <w:rPr>
          <w:rFonts w:eastAsia="Times New Roman" w:cstheme="minorHAnsi"/>
          <w:color w:val="000000"/>
          <w:sz w:val="24"/>
          <w:szCs w:val="24"/>
          <w:lang w:eastAsia="en-NZ"/>
        </w:rPr>
        <w:t xml:space="preserve"> a majority of disabled people or family members of disabled people.  </w:t>
      </w:r>
      <w:r w:rsidRPr="00B045BB">
        <w:rPr>
          <w:rFonts w:eastAsia="Times New Roman" w:cstheme="minorHAnsi"/>
          <w:color w:val="000000"/>
          <w:sz w:val="24"/>
          <w:szCs w:val="24"/>
          <w:lang w:eastAsia="en-NZ"/>
        </w:rPr>
        <w:t xml:space="preserve">We believe that an inclusive education system is the foundation for building an inclusive Aotearoa </w:t>
      </w:r>
      <w:r w:rsidR="006A0D9E" w:rsidRPr="00B045BB">
        <w:rPr>
          <w:rFonts w:eastAsia="Times New Roman" w:cstheme="minorHAnsi"/>
          <w:color w:val="000000"/>
          <w:sz w:val="24"/>
          <w:szCs w:val="24"/>
          <w:lang w:eastAsia="en-NZ"/>
        </w:rPr>
        <w:t xml:space="preserve">New Zealand </w:t>
      </w:r>
      <w:r w:rsidRPr="00B045BB">
        <w:rPr>
          <w:rFonts w:eastAsia="Times New Roman" w:cstheme="minorHAnsi"/>
          <w:color w:val="000000"/>
          <w:sz w:val="24"/>
          <w:szCs w:val="24"/>
          <w:lang w:eastAsia="en-NZ"/>
        </w:rPr>
        <w:t xml:space="preserve">for all. </w:t>
      </w:r>
      <w:r w:rsidR="000F4A36" w:rsidRPr="00B045BB">
        <w:rPr>
          <w:rFonts w:eastAsia="Times New Roman" w:cstheme="minorHAnsi"/>
          <w:color w:val="000000"/>
          <w:sz w:val="24"/>
          <w:szCs w:val="24"/>
          <w:lang w:eastAsia="en-NZ"/>
        </w:rPr>
        <w:t xml:space="preserve">Inclusive schools play a vital role in promoting social cohesion and the development of inclusive communities. </w:t>
      </w:r>
      <w:r w:rsidRPr="00B045BB">
        <w:rPr>
          <w:rFonts w:eastAsia="Times New Roman" w:cstheme="minorHAnsi"/>
          <w:color w:val="000000"/>
          <w:sz w:val="24"/>
          <w:szCs w:val="24"/>
          <w:lang w:eastAsia="en-NZ"/>
        </w:rPr>
        <w:t xml:space="preserve">In our work we aim to change attitudes, policies and practices so that every student is welcomed, has a sense of belonging and can access the support they need to participate and achieve to their full potential at their local school. Our work is underpinned by New Zealand and international research, New Zealand law and our obligations under International Human Rights Conventions.  </w:t>
      </w:r>
    </w:p>
    <w:p w14:paraId="03AF9F1D" w14:textId="77777777" w:rsidR="00337B23" w:rsidRPr="00B045BB" w:rsidRDefault="00337B23" w:rsidP="00337B23">
      <w:pPr>
        <w:pStyle w:val="ListParagraph"/>
        <w:rPr>
          <w:rFonts w:eastAsia="Times New Roman" w:cstheme="minorHAnsi"/>
          <w:color w:val="000000"/>
          <w:sz w:val="24"/>
          <w:szCs w:val="24"/>
          <w:lang w:eastAsia="en-NZ"/>
        </w:rPr>
      </w:pPr>
    </w:p>
    <w:p w14:paraId="0377DB87" w14:textId="77777777" w:rsidR="006A0D9E" w:rsidRPr="00B045BB" w:rsidRDefault="00337B23" w:rsidP="006A0D9E">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We note that the New Zealand Report has been prepared in response to 32 key issues identified by the C</w:t>
      </w:r>
      <w:r w:rsidR="005349D0" w:rsidRPr="00B045BB">
        <w:rPr>
          <w:rFonts w:eastAsia="Times New Roman" w:cstheme="minorHAnsi"/>
          <w:color w:val="000000"/>
          <w:sz w:val="24"/>
          <w:szCs w:val="24"/>
          <w:lang w:eastAsia="en-NZ"/>
        </w:rPr>
        <w:t>ommittee in its List of Issues p</w:t>
      </w:r>
      <w:r w:rsidRPr="00B045BB">
        <w:rPr>
          <w:rFonts w:eastAsia="Times New Roman" w:cstheme="minorHAnsi"/>
          <w:color w:val="000000"/>
          <w:sz w:val="24"/>
          <w:szCs w:val="24"/>
          <w:lang w:eastAsia="en-NZ"/>
        </w:rPr>
        <w:t xml:space="preserve">rior to </w:t>
      </w:r>
      <w:r w:rsidR="005349D0" w:rsidRPr="00B045BB">
        <w:rPr>
          <w:rFonts w:eastAsia="Times New Roman" w:cstheme="minorHAnsi"/>
          <w:color w:val="000000"/>
          <w:sz w:val="24"/>
          <w:szCs w:val="24"/>
          <w:lang w:eastAsia="en-NZ"/>
        </w:rPr>
        <w:t>submission of the combined second and third periodic reports of New Zealand</w:t>
      </w:r>
      <w:r w:rsidRPr="00B045BB">
        <w:rPr>
          <w:rFonts w:eastAsia="Times New Roman" w:cstheme="minorHAnsi"/>
          <w:color w:val="000000"/>
          <w:sz w:val="24"/>
          <w:szCs w:val="24"/>
          <w:lang w:eastAsia="en-NZ"/>
        </w:rPr>
        <w:t>.</w:t>
      </w:r>
      <w:r w:rsidR="005349D0" w:rsidRPr="00B045BB">
        <w:rPr>
          <w:rStyle w:val="FootnoteReference"/>
          <w:rFonts w:eastAsia="Times New Roman" w:cstheme="minorHAnsi"/>
          <w:color w:val="000000"/>
          <w:sz w:val="24"/>
          <w:szCs w:val="24"/>
          <w:lang w:eastAsia="en-NZ"/>
        </w:rPr>
        <w:footnoteReference w:id="1"/>
      </w:r>
      <w:r w:rsidRPr="00B045BB">
        <w:rPr>
          <w:rFonts w:eastAsia="Times New Roman" w:cstheme="minorHAnsi"/>
          <w:color w:val="000000"/>
          <w:sz w:val="24"/>
          <w:szCs w:val="24"/>
          <w:lang w:eastAsia="en-NZ"/>
        </w:rPr>
        <w:t xml:space="preserve"> </w:t>
      </w:r>
      <w:r w:rsidR="0065514C"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 xml:space="preserve">However, this </w:t>
      </w:r>
    </w:p>
    <w:p w14:paraId="282D822B" w14:textId="771965B5" w:rsidR="00180DE5" w:rsidRPr="00B045BB" w:rsidRDefault="0065514C" w:rsidP="00DF58D3">
      <w:pPr>
        <w:pStyle w:val="ListParagraph"/>
        <w:spacing w:before="100" w:beforeAutospacing="1" w:after="100" w:afterAutospacing="1"/>
        <w:ind w:left="360"/>
        <w:rPr>
          <w:rFonts w:eastAsia="Times New Roman" w:cstheme="minorHAnsi"/>
          <w:color w:val="000000"/>
          <w:sz w:val="24"/>
          <w:szCs w:val="24"/>
          <w:lang w:eastAsia="en-NZ"/>
        </w:rPr>
      </w:pPr>
      <w:r w:rsidRPr="00B045BB">
        <w:rPr>
          <w:rFonts w:eastAsia="Times New Roman" w:cstheme="minorHAnsi"/>
          <w:color w:val="000000"/>
          <w:sz w:val="24"/>
          <w:szCs w:val="24"/>
          <w:lang w:eastAsia="en-NZ"/>
        </w:rPr>
        <w:t>s</w:t>
      </w:r>
      <w:r w:rsidR="00615A13" w:rsidRPr="00B045BB">
        <w:rPr>
          <w:rFonts w:eastAsia="Times New Roman" w:cstheme="minorHAnsi"/>
          <w:color w:val="000000"/>
          <w:sz w:val="24"/>
          <w:szCs w:val="24"/>
          <w:lang w:eastAsia="en-NZ"/>
        </w:rPr>
        <w:t>upplementary</w:t>
      </w:r>
      <w:r w:rsidR="00CE7298" w:rsidRPr="00B045BB">
        <w:rPr>
          <w:rFonts w:eastAsia="Times New Roman" w:cstheme="minorHAnsi"/>
          <w:color w:val="000000"/>
          <w:sz w:val="24"/>
          <w:szCs w:val="24"/>
          <w:lang w:eastAsia="en-NZ"/>
        </w:rPr>
        <w:t xml:space="preserve"> </w:t>
      </w:r>
      <w:r w:rsidR="006A50E7" w:rsidRPr="00B045BB">
        <w:rPr>
          <w:rFonts w:eastAsia="Times New Roman" w:cstheme="minorHAnsi"/>
          <w:color w:val="000000"/>
          <w:sz w:val="24"/>
          <w:szCs w:val="24"/>
          <w:lang w:eastAsia="en-NZ"/>
        </w:rPr>
        <w:t>submission responds</w:t>
      </w:r>
      <w:r w:rsidR="00D31BFE" w:rsidRPr="00B045BB">
        <w:rPr>
          <w:rFonts w:eastAsia="Times New Roman" w:cstheme="minorHAnsi"/>
          <w:color w:val="000000"/>
          <w:sz w:val="24"/>
          <w:szCs w:val="24"/>
          <w:lang w:eastAsia="en-NZ"/>
        </w:rPr>
        <w:t xml:space="preserve"> to the Concluding </w:t>
      </w:r>
      <w:r w:rsidR="006A50E7" w:rsidRPr="00B045BB">
        <w:rPr>
          <w:rFonts w:eastAsia="Times New Roman" w:cstheme="minorHAnsi"/>
          <w:color w:val="000000"/>
          <w:sz w:val="24"/>
          <w:szCs w:val="24"/>
          <w:lang w:eastAsia="en-NZ"/>
        </w:rPr>
        <w:t>Observations</w:t>
      </w:r>
      <w:r w:rsidR="005349D0" w:rsidRPr="00B045BB">
        <w:rPr>
          <w:rFonts w:eastAsia="Times New Roman" w:cstheme="minorHAnsi"/>
          <w:color w:val="000000"/>
          <w:sz w:val="24"/>
          <w:szCs w:val="24"/>
          <w:lang w:eastAsia="en-NZ"/>
        </w:rPr>
        <w:t xml:space="preserve"> on the initial report of New Zealand</w:t>
      </w:r>
      <w:r w:rsidR="005349D0" w:rsidRPr="00B045BB">
        <w:rPr>
          <w:rStyle w:val="FootnoteReference"/>
          <w:rFonts w:eastAsia="Times New Roman" w:cstheme="minorHAnsi"/>
          <w:color w:val="000000"/>
          <w:sz w:val="24"/>
          <w:szCs w:val="24"/>
          <w:lang w:eastAsia="en-NZ"/>
        </w:rPr>
        <w:footnoteReference w:id="2"/>
      </w:r>
      <w:r w:rsidR="005349D0" w:rsidRPr="00B045BB">
        <w:rPr>
          <w:rFonts w:eastAsia="Times New Roman" w:cstheme="minorHAnsi"/>
          <w:color w:val="000000"/>
          <w:sz w:val="24"/>
          <w:szCs w:val="24"/>
          <w:lang w:eastAsia="en-NZ"/>
        </w:rPr>
        <w:t xml:space="preserve"> </w:t>
      </w:r>
      <w:r w:rsidR="006A50E7" w:rsidRPr="00B045BB">
        <w:rPr>
          <w:rFonts w:eastAsia="Times New Roman" w:cstheme="minorHAnsi"/>
          <w:color w:val="000000"/>
          <w:sz w:val="24"/>
          <w:szCs w:val="24"/>
          <w:lang w:eastAsia="en-NZ"/>
        </w:rPr>
        <w:t xml:space="preserve"> and</w:t>
      </w:r>
      <w:r w:rsidRPr="00B045BB">
        <w:rPr>
          <w:rFonts w:eastAsia="Times New Roman" w:cstheme="minorHAnsi"/>
          <w:color w:val="000000"/>
          <w:sz w:val="24"/>
          <w:szCs w:val="24"/>
          <w:lang w:eastAsia="en-NZ"/>
        </w:rPr>
        <w:t xml:space="preserve"> the</w:t>
      </w:r>
      <w:r w:rsidR="00D31BFE" w:rsidRPr="00B045BB">
        <w:rPr>
          <w:rFonts w:eastAsia="Times New Roman" w:cstheme="minorHAnsi"/>
          <w:color w:val="000000"/>
          <w:sz w:val="24"/>
          <w:szCs w:val="24"/>
          <w:lang w:eastAsia="en-NZ"/>
        </w:rPr>
        <w:t xml:space="preserve"> </w:t>
      </w:r>
      <w:proofErr w:type="gramStart"/>
      <w:r w:rsidRPr="00B045BB">
        <w:rPr>
          <w:rFonts w:eastAsia="Times New Roman" w:cstheme="minorHAnsi"/>
          <w:color w:val="000000"/>
          <w:sz w:val="24"/>
          <w:szCs w:val="24"/>
          <w:lang w:eastAsia="en-NZ"/>
        </w:rPr>
        <w:t>r</w:t>
      </w:r>
      <w:r w:rsidR="006A50E7" w:rsidRPr="00B045BB">
        <w:rPr>
          <w:rFonts w:eastAsia="Times New Roman" w:cstheme="minorHAnsi"/>
          <w:color w:val="000000"/>
          <w:sz w:val="24"/>
          <w:szCs w:val="24"/>
          <w:lang w:eastAsia="en-NZ"/>
        </w:rPr>
        <w:t xml:space="preserve">ecommendations </w:t>
      </w:r>
      <w:r w:rsidRPr="00B045BB">
        <w:rPr>
          <w:rFonts w:eastAsia="Times New Roman" w:cstheme="minorHAnsi"/>
          <w:color w:val="000000"/>
          <w:sz w:val="24"/>
          <w:szCs w:val="24"/>
          <w:lang w:eastAsia="en-NZ"/>
        </w:rPr>
        <w:t xml:space="preserve"> made</w:t>
      </w:r>
      <w:proofErr w:type="gramEnd"/>
      <w:r w:rsidRPr="00B045BB">
        <w:rPr>
          <w:rFonts w:eastAsia="Times New Roman" w:cstheme="minorHAnsi"/>
          <w:color w:val="000000"/>
          <w:sz w:val="24"/>
          <w:szCs w:val="24"/>
          <w:lang w:eastAsia="en-NZ"/>
        </w:rPr>
        <w:t xml:space="preserve"> </w:t>
      </w:r>
      <w:r w:rsidR="006A50E7" w:rsidRPr="00B045BB">
        <w:rPr>
          <w:rFonts w:eastAsia="Times New Roman" w:cstheme="minorHAnsi"/>
          <w:color w:val="000000"/>
          <w:sz w:val="24"/>
          <w:szCs w:val="24"/>
          <w:lang w:eastAsia="en-NZ"/>
        </w:rPr>
        <w:t>that</w:t>
      </w:r>
      <w:r w:rsidR="00D31BFE" w:rsidRPr="00B045BB">
        <w:rPr>
          <w:rFonts w:eastAsia="Times New Roman" w:cstheme="minorHAnsi"/>
          <w:color w:val="000000"/>
          <w:sz w:val="24"/>
          <w:szCs w:val="24"/>
          <w:lang w:eastAsia="en-NZ"/>
        </w:rPr>
        <w:t xml:space="preserve"> further work be undertaken to increase the provision of reasonable accommodation in primary and secondary education</w:t>
      </w:r>
      <w:r w:rsidR="00B6614C" w:rsidRPr="00B045BB">
        <w:rPr>
          <w:rFonts w:eastAsia="Times New Roman" w:cstheme="minorHAnsi"/>
          <w:color w:val="000000"/>
          <w:sz w:val="24"/>
          <w:szCs w:val="24"/>
          <w:lang w:eastAsia="en-NZ"/>
        </w:rPr>
        <w:t xml:space="preserve"> a</w:t>
      </w:r>
      <w:r w:rsidR="00C936D3" w:rsidRPr="00B045BB">
        <w:rPr>
          <w:rFonts w:eastAsia="Times New Roman" w:cstheme="minorHAnsi"/>
          <w:color w:val="000000"/>
          <w:sz w:val="24"/>
          <w:szCs w:val="24"/>
          <w:lang w:eastAsia="en-NZ"/>
        </w:rPr>
        <w:t xml:space="preserve">nd </w:t>
      </w:r>
      <w:r w:rsidR="0093252E" w:rsidRPr="00B045BB">
        <w:rPr>
          <w:rFonts w:eastAsia="Times New Roman" w:cstheme="minorHAnsi"/>
          <w:color w:val="000000"/>
          <w:sz w:val="24"/>
          <w:szCs w:val="24"/>
          <w:lang w:eastAsia="en-NZ"/>
        </w:rPr>
        <w:t xml:space="preserve">for </w:t>
      </w:r>
      <w:r w:rsidR="00C936D3" w:rsidRPr="00B045BB">
        <w:rPr>
          <w:rFonts w:eastAsia="Times New Roman" w:cstheme="minorHAnsi"/>
          <w:color w:val="000000"/>
          <w:sz w:val="24"/>
          <w:szCs w:val="24"/>
          <w:lang w:eastAsia="en-NZ"/>
        </w:rPr>
        <w:t xml:space="preserve">the establishment of </w:t>
      </w:r>
      <w:r w:rsidR="00D31BFE" w:rsidRPr="00B045BB">
        <w:rPr>
          <w:rFonts w:eastAsia="Times New Roman" w:cstheme="minorHAnsi"/>
          <w:color w:val="000000"/>
          <w:sz w:val="24"/>
          <w:szCs w:val="24"/>
          <w:lang w:eastAsia="en-NZ"/>
        </w:rPr>
        <w:t>an enforceable right to education</w:t>
      </w:r>
      <w:r w:rsidR="00C936D3"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 xml:space="preserve"> </w:t>
      </w:r>
      <w:r w:rsidR="00D31BFE" w:rsidRPr="00B045BB">
        <w:rPr>
          <w:rFonts w:eastAsia="Times New Roman" w:cstheme="minorHAnsi"/>
          <w:color w:val="000000"/>
          <w:sz w:val="24"/>
          <w:szCs w:val="24"/>
          <w:lang w:eastAsia="en-NZ"/>
        </w:rPr>
        <w:t>In addition</w:t>
      </w:r>
      <w:r w:rsidR="00B6614C" w:rsidRPr="00B045BB">
        <w:rPr>
          <w:rFonts w:eastAsia="Times New Roman" w:cstheme="minorHAnsi"/>
          <w:color w:val="000000"/>
          <w:sz w:val="24"/>
          <w:szCs w:val="24"/>
          <w:lang w:eastAsia="en-NZ"/>
        </w:rPr>
        <w:t>,</w:t>
      </w:r>
      <w:r w:rsidR="00D31BFE" w:rsidRPr="00B045BB">
        <w:rPr>
          <w:rFonts w:eastAsia="Times New Roman" w:cstheme="minorHAnsi"/>
          <w:color w:val="000000"/>
          <w:sz w:val="24"/>
          <w:szCs w:val="24"/>
          <w:lang w:eastAsia="en-NZ"/>
        </w:rPr>
        <w:t xml:space="preserve"> this submission </w:t>
      </w:r>
      <w:proofErr w:type="gramStart"/>
      <w:r w:rsidR="00D45D41">
        <w:rPr>
          <w:rFonts w:eastAsia="Times New Roman" w:cstheme="minorHAnsi"/>
          <w:color w:val="000000"/>
          <w:sz w:val="24"/>
          <w:szCs w:val="24"/>
          <w:lang w:eastAsia="en-NZ"/>
        </w:rPr>
        <w:t xml:space="preserve">articulates </w:t>
      </w:r>
      <w:r w:rsidR="00D31BFE" w:rsidRPr="00B045BB">
        <w:rPr>
          <w:rFonts w:eastAsia="Times New Roman" w:cstheme="minorHAnsi"/>
          <w:color w:val="000000"/>
          <w:sz w:val="24"/>
          <w:szCs w:val="24"/>
          <w:lang w:eastAsia="en-NZ"/>
        </w:rPr>
        <w:t xml:space="preserve"> the</w:t>
      </w:r>
      <w:proofErr w:type="gramEnd"/>
      <w:r w:rsidR="00D31BFE" w:rsidRPr="00B045BB">
        <w:rPr>
          <w:rFonts w:eastAsia="Times New Roman" w:cstheme="minorHAnsi"/>
          <w:color w:val="000000"/>
          <w:sz w:val="24"/>
          <w:szCs w:val="24"/>
          <w:lang w:eastAsia="en-NZ"/>
        </w:rPr>
        <w:t xml:space="preserve"> ongoing </w:t>
      </w:r>
      <w:r w:rsidR="006A50E7" w:rsidRPr="00B045BB">
        <w:rPr>
          <w:rFonts w:eastAsia="Times New Roman" w:cstheme="minorHAnsi"/>
          <w:color w:val="000000"/>
          <w:sz w:val="24"/>
          <w:szCs w:val="24"/>
          <w:lang w:eastAsia="en-NZ"/>
        </w:rPr>
        <w:t>challenges in</w:t>
      </w:r>
      <w:r w:rsidR="00D31BFE" w:rsidRPr="00B045BB">
        <w:rPr>
          <w:rFonts w:eastAsia="Times New Roman" w:cstheme="minorHAnsi"/>
          <w:color w:val="000000"/>
          <w:sz w:val="24"/>
          <w:szCs w:val="24"/>
          <w:lang w:eastAsia="en-NZ"/>
        </w:rPr>
        <w:t xml:space="preserve"> relation to </w:t>
      </w:r>
      <w:r w:rsidR="00B6614C" w:rsidRPr="00B045BB">
        <w:rPr>
          <w:rFonts w:eastAsia="Times New Roman" w:cstheme="minorHAnsi"/>
          <w:color w:val="000000"/>
          <w:sz w:val="24"/>
          <w:szCs w:val="24"/>
          <w:lang w:eastAsia="en-NZ"/>
        </w:rPr>
        <w:t>New Z</w:t>
      </w:r>
      <w:r w:rsidR="00C936D3" w:rsidRPr="00B045BB">
        <w:rPr>
          <w:rFonts w:eastAsia="Times New Roman" w:cstheme="minorHAnsi"/>
          <w:color w:val="000000"/>
          <w:sz w:val="24"/>
          <w:szCs w:val="24"/>
          <w:lang w:eastAsia="en-NZ"/>
        </w:rPr>
        <w:t xml:space="preserve">ealand’s obligations to </w:t>
      </w:r>
      <w:r w:rsidR="006A50E7" w:rsidRPr="00B045BB">
        <w:rPr>
          <w:rFonts w:eastAsia="Times New Roman" w:cstheme="minorHAnsi"/>
          <w:color w:val="000000"/>
          <w:sz w:val="24"/>
          <w:szCs w:val="24"/>
          <w:lang w:eastAsia="en-NZ"/>
        </w:rPr>
        <w:t>progressively realise</w:t>
      </w:r>
      <w:r w:rsidR="00720825" w:rsidRPr="00B045BB">
        <w:rPr>
          <w:rFonts w:eastAsia="Times New Roman" w:cstheme="minorHAnsi"/>
          <w:color w:val="000000"/>
          <w:sz w:val="24"/>
          <w:szCs w:val="24"/>
          <w:lang w:eastAsia="en-NZ"/>
        </w:rPr>
        <w:t xml:space="preserve"> </w:t>
      </w:r>
      <w:r w:rsidR="0093252E" w:rsidRPr="00B045BB">
        <w:rPr>
          <w:rFonts w:eastAsia="Times New Roman" w:cstheme="minorHAnsi"/>
          <w:color w:val="000000"/>
          <w:sz w:val="24"/>
          <w:szCs w:val="24"/>
          <w:lang w:eastAsia="en-NZ"/>
        </w:rPr>
        <w:t>A</w:t>
      </w:r>
      <w:r w:rsidR="00C936D3" w:rsidRPr="00B045BB">
        <w:rPr>
          <w:rFonts w:eastAsia="Times New Roman" w:cstheme="minorHAnsi"/>
          <w:color w:val="000000"/>
          <w:sz w:val="24"/>
          <w:szCs w:val="24"/>
          <w:lang w:eastAsia="en-NZ"/>
        </w:rPr>
        <w:t xml:space="preserve">rticle </w:t>
      </w:r>
      <w:r w:rsidR="006A50E7" w:rsidRPr="00B045BB">
        <w:rPr>
          <w:rFonts w:eastAsia="Times New Roman" w:cstheme="minorHAnsi"/>
          <w:color w:val="000000"/>
          <w:sz w:val="24"/>
          <w:szCs w:val="24"/>
          <w:lang w:eastAsia="en-NZ"/>
        </w:rPr>
        <w:t>24 as</w:t>
      </w:r>
      <w:r w:rsidR="00D31BFE" w:rsidRPr="00B045BB">
        <w:rPr>
          <w:rFonts w:eastAsia="Times New Roman" w:cstheme="minorHAnsi"/>
          <w:color w:val="000000"/>
          <w:sz w:val="24"/>
          <w:szCs w:val="24"/>
          <w:lang w:eastAsia="en-NZ"/>
        </w:rPr>
        <w:t xml:space="preserve"> outlined in </w:t>
      </w:r>
      <w:r w:rsidR="00C936D3" w:rsidRPr="00B045BB">
        <w:rPr>
          <w:rFonts w:eastAsia="Times New Roman" w:cstheme="minorHAnsi"/>
          <w:color w:val="000000"/>
          <w:sz w:val="24"/>
          <w:szCs w:val="24"/>
          <w:lang w:eastAsia="en-NZ"/>
        </w:rPr>
        <w:t xml:space="preserve">obligations of state </w:t>
      </w:r>
      <w:r w:rsidR="006A50E7" w:rsidRPr="00B045BB">
        <w:rPr>
          <w:rFonts w:eastAsia="Times New Roman" w:cstheme="minorHAnsi"/>
          <w:color w:val="000000"/>
          <w:sz w:val="24"/>
          <w:szCs w:val="24"/>
          <w:lang w:eastAsia="en-NZ"/>
        </w:rPr>
        <w:t>part</w:t>
      </w:r>
      <w:r w:rsidRPr="00B045BB">
        <w:rPr>
          <w:rFonts w:eastAsia="Times New Roman" w:cstheme="minorHAnsi"/>
          <w:color w:val="000000"/>
          <w:sz w:val="24"/>
          <w:szCs w:val="24"/>
          <w:lang w:eastAsia="en-NZ"/>
        </w:rPr>
        <w:t>ies</w:t>
      </w:r>
      <w:r w:rsidR="006A50E7" w:rsidRPr="00B045BB">
        <w:rPr>
          <w:rFonts w:eastAsia="Times New Roman" w:cstheme="minorHAnsi"/>
          <w:color w:val="000000"/>
          <w:sz w:val="24"/>
          <w:szCs w:val="24"/>
          <w:lang w:eastAsia="en-NZ"/>
        </w:rPr>
        <w:t xml:space="preserve"> in</w:t>
      </w:r>
      <w:r w:rsidR="00B6614C" w:rsidRPr="00B045BB">
        <w:rPr>
          <w:rFonts w:eastAsia="Times New Roman" w:cstheme="minorHAnsi"/>
          <w:color w:val="000000"/>
          <w:sz w:val="24"/>
          <w:szCs w:val="24"/>
          <w:lang w:eastAsia="en-NZ"/>
        </w:rPr>
        <w:t xml:space="preserve"> </w:t>
      </w:r>
      <w:r w:rsidR="00B6614C" w:rsidRPr="00B045BB">
        <w:rPr>
          <w:rFonts w:eastAsia="Times New Roman" w:cstheme="minorHAnsi"/>
          <w:color w:val="000000"/>
          <w:sz w:val="24"/>
          <w:szCs w:val="24"/>
          <w:lang w:eastAsia="en-NZ"/>
        </w:rPr>
        <w:lastRenderedPageBreak/>
        <w:t>General Comment N</w:t>
      </w:r>
      <w:r w:rsidR="00D31BFE" w:rsidRPr="00B045BB">
        <w:rPr>
          <w:rFonts w:eastAsia="Times New Roman" w:cstheme="minorHAnsi"/>
          <w:color w:val="000000"/>
          <w:sz w:val="24"/>
          <w:szCs w:val="24"/>
          <w:lang w:eastAsia="en-NZ"/>
        </w:rPr>
        <w:t>o 4.</w:t>
      </w:r>
      <w:r w:rsidR="005349D0" w:rsidRPr="00B045BB">
        <w:rPr>
          <w:rStyle w:val="FootnoteReference"/>
          <w:rFonts w:eastAsia="Times New Roman" w:cstheme="minorHAnsi"/>
          <w:color w:val="000000"/>
          <w:sz w:val="24"/>
          <w:szCs w:val="24"/>
          <w:lang w:eastAsia="en-NZ"/>
        </w:rPr>
        <w:footnoteReference w:id="3"/>
      </w:r>
      <w:r w:rsidR="00D31BFE" w:rsidRPr="00B045BB">
        <w:rPr>
          <w:rFonts w:eastAsia="Times New Roman" w:cstheme="minorHAnsi"/>
          <w:color w:val="000000"/>
          <w:sz w:val="24"/>
          <w:szCs w:val="24"/>
          <w:lang w:eastAsia="en-NZ"/>
        </w:rPr>
        <w:t xml:space="preserve"> (</w:t>
      </w:r>
      <w:r w:rsidR="006A50E7" w:rsidRPr="00B045BB">
        <w:rPr>
          <w:rFonts w:eastAsia="Times New Roman" w:cstheme="minorHAnsi"/>
          <w:color w:val="000000"/>
          <w:sz w:val="24"/>
          <w:szCs w:val="24"/>
          <w:lang w:eastAsia="en-NZ"/>
        </w:rPr>
        <w:t>Paragraph</w:t>
      </w:r>
      <w:r w:rsidR="00D31BFE" w:rsidRPr="00B045BB">
        <w:rPr>
          <w:rFonts w:eastAsia="Times New Roman" w:cstheme="minorHAnsi"/>
          <w:color w:val="000000"/>
          <w:sz w:val="24"/>
          <w:szCs w:val="24"/>
          <w:lang w:eastAsia="en-NZ"/>
        </w:rPr>
        <w:t xml:space="preserve"> 40)</w:t>
      </w:r>
      <w:r w:rsidR="0093252E" w:rsidRPr="00B045BB">
        <w:rPr>
          <w:rFonts w:eastAsia="Times New Roman" w:cstheme="minorHAnsi"/>
          <w:color w:val="000000"/>
          <w:sz w:val="24"/>
          <w:szCs w:val="24"/>
          <w:lang w:eastAsia="en-NZ"/>
        </w:rPr>
        <w:t>.</w:t>
      </w:r>
      <w:r w:rsidR="006A0D9E" w:rsidRPr="00B045BB">
        <w:rPr>
          <w:rFonts w:eastAsia="Times New Roman" w:cstheme="minorHAnsi"/>
          <w:color w:val="000000"/>
          <w:sz w:val="24"/>
          <w:szCs w:val="24"/>
          <w:lang w:eastAsia="en-NZ"/>
        </w:rPr>
        <w:t xml:space="preserve"> </w:t>
      </w:r>
      <w:r w:rsidR="00C936D3" w:rsidRPr="00B045BB">
        <w:rPr>
          <w:rFonts w:eastAsia="Times New Roman" w:cstheme="minorHAnsi"/>
          <w:color w:val="000000"/>
          <w:sz w:val="24"/>
          <w:szCs w:val="24"/>
          <w:lang w:eastAsia="en-NZ"/>
        </w:rPr>
        <w:t xml:space="preserve"> Also </w:t>
      </w:r>
      <w:proofErr w:type="gramStart"/>
      <w:r w:rsidR="00C936D3" w:rsidRPr="00B045BB">
        <w:rPr>
          <w:rFonts w:eastAsia="Times New Roman" w:cstheme="minorHAnsi"/>
          <w:color w:val="000000"/>
          <w:sz w:val="24"/>
          <w:szCs w:val="24"/>
          <w:lang w:eastAsia="en-NZ"/>
        </w:rPr>
        <w:t xml:space="preserve">included </w:t>
      </w:r>
      <w:r w:rsidRPr="00B045BB">
        <w:rPr>
          <w:rFonts w:eastAsia="Times New Roman" w:cstheme="minorHAnsi"/>
          <w:color w:val="000000"/>
          <w:sz w:val="24"/>
          <w:szCs w:val="24"/>
          <w:lang w:eastAsia="en-NZ"/>
        </w:rPr>
        <w:t xml:space="preserve"> in</w:t>
      </w:r>
      <w:proofErr w:type="gramEnd"/>
      <w:r w:rsidRPr="00B045BB">
        <w:rPr>
          <w:rFonts w:eastAsia="Times New Roman" w:cstheme="minorHAnsi"/>
          <w:color w:val="000000"/>
          <w:sz w:val="24"/>
          <w:szCs w:val="24"/>
          <w:lang w:eastAsia="en-NZ"/>
        </w:rPr>
        <w:t xml:space="preserve"> this submission </w:t>
      </w:r>
      <w:r w:rsidR="00C936D3" w:rsidRPr="00B045BB">
        <w:rPr>
          <w:rFonts w:eastAsia="Times New Roman" w:cstheme="minorHAnsi"/>
          <w:color w:val="000000"/>
          <w:sz w:val="24"/>
          <w:szCs w:val="24"/>
          <w:lang w:eastAsia="en-NZ"/>
        </w:rPr>
        <w:t>are r</w:t>
      </w:r>
      <w:r w:rsidR="00180DE5" w:rsidRPr="00B045BB">
        <w:rPr>
          <w:rFonts w:eastAsia="Times New Roman" w:cstheme="minorHAnsi"/>
          <w:color w:val="000000"/>
          <w:sz w:val="24"/>
          <w:szCs w:val="24"/>
          <w:lang w:eastAsia="en-NZ"/>
        </w:rPr>
        <w:t>ecommendations which the Committee may wish to consider adopting following its second and third periodic review of New Zealand</w:t>
      </w:r>
      <w:r w:rsidR="00D45D41">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 United Nations Convention on the Rights of Persons with Disabilities</w:t>
      </w:r>
      <w:r w:rsidR="00D45D41">
        <w:rPr>
          <w:rFonts w:eastAsia="Times New Roman" w:cstheme="minorHAnsi"/>
          <w:color w:val="000000"/>
          <w:sz w:val="24"/>
          <w:szCs w:val="24"/>
          <w:lang w:eastAsia="en-NZ"/>
        </w:rPr>
        <w:t xml:space="preserve"> (CRPD)</w:t>
      </w:r>
      <w:r w:rsidRPr="00B045BB">
        <w:rPr>
          <w:rFonts w:eastAsia="Times New Roman" w:cstheme="minorHAnsi"/>
          <w:color w:val="000000"/>
          <w:sz w:val="24"/>
          <w:szCs w:val="24"/>
          <w:lang w:eastAsia="en-NZ"/>
        </w:rPr>
        <w:t>.</w:t>
      </w:r>
    </w:p>
    <w:p w14:paraId="74E760F8" w14:textId="77777777" w:rsidR="008C3652" w:rsidRPr="00B045BB" w:rsidRDefault="008C3652" w:rsidP="00DF58D3">
      <w:pPr>
        <w:pStyle w:val="ListParagraph"/>
        <w:spacing w:before="100" w:beforeAutospacing="1" w:after="100" w:afterAutospacing="1"/>
        <w:ind w:left="360"/>
        <w:rPr>
          <w:rFonts w:eastAsia="Times New Roman" w:cstheme="minorHAnsi"/>
          <w:color w:val="000000"/>
          <w:sz w:val="24"/>
          <w:szCs w:val="24"/>
          <w:lang w:eastAsia="en-NZ"/>
        </w:rPr>
      </w:pPr>
    </w:p>
    <w:p w14:paraId="6B7FF085" w14:textId="77777777" w:rsidR="00322E35" w:rsidRPr="00B045BB" w:rsidRDefault="00322E35" w:rsidP="00180DE5">
      <w:pPr>
        <w:pStyle w:val="ListParagraph"/>
        <w:ind w:left="0"/>
        <w:rPr>
          <w:rFonts w:eastAsia="Times New Roman" w:cstheme="minorHAnsi"/>
          <w:b/>
          <w:color w:val="000000"/>
          <w:sz w:val="24"/>
          <w:szCs w:val="24"/>
          <w:lang w:eastAsia="en-NZ"/>
        </w:rPr>
      </w:pPr>
    </w:p>
    <w:p w14:paraId="263B03D9" w14:textId="77777777" w:rsidR="000F4A36" w:rsidRPr="00B045BB" w:rsidRDefault="006A0D9E" w:rsidP="00180DE5">
      <w:pPr>
        <w:pStyle w:val="ListParagraph"/>
        <w:ind w:left="0"/>
        <w:rPr>
          <w:rFonts w:eastAsia="Times New Roman" w:cstheme="minorHAnsi"/>
          <w:b/>
          <w:color w:val="000000"/>
          <w:sz w:val="24"/>
          <w:szCs w:val="24"/>
          <w:lang w:eastAsia="en-NZ"/>
        </w:rPr>
      </w:pPr>
      <w:r w:rsidRPr="00B045BB">
        <w:rPr>
          <w:rFonts w:eastAsia="Times New Roman" w:cstheme="minorHAnsi"/>
          <w:b/>
          <w:color w:val="000000"/>
          <w:sz w:val="24"/>
          <w:szCs w:val="24"/>
          <w:lang w:eastAsia="en-NZ"/>
        </w:rPr>
        <w:t xml:space="preserve">Key points </w:t>
      </w:r>
    </w:p>
    <w:p w14:paraId="410F541A" w14:textId="77777777" w:rsidR="000F4A36" w:rsidRPr="00B045BB" w:rsidRDefault="000F4A36" w:rsidP="00180DE5">
      <w:pPr>
        <w:pStyle w:val="ListParagraph"/>
        <w:ind w:left="0"/>
        <w:rPr>
          <w:rFonts w:eastAsia="Times New Roman" w:cstheme="minorHAnsi"/>
          <w:b/>
          <w:color w:val="000000"/>
          <w:sz w:val="24"/>
          <w:szCs w:val="24"/>
          <w:lang w:eastAsia="en-NZ"/>
        </w:rPr>
      </w:pPr>
    </w:p>
    <w:p w14:paraId="041A5319" w14:textId="77777777" w:rsidR="00FD7FF0" w:rsidRPr="00B045BB" w:rsidRDefault="00615A13" w:rsidP="00180DE5">
      <w:pPr>
        <w:pStyle w:val="ListParagraph"/>
        <w:ind w:left="0"/>
        <w:rPr>
          <w:rFonts w:eastAsia="Times New Roman" w:cstheme="minorHAnsi"/>
          <w:b/>
          <w:color w:val="4F81BD" w:themeColor="accent1"/>
          <w:sz w:val="24"/>
          <w:szCs w:val="24"/>
          <w:lang w:eastAsia="en-NZ"/>
        </w:rPr>
      </w:pPr>
      <w:r w:rsidRPr="00B045BB">
        <w:rPr>
          <w:rFonts w:eastAsia="Times New Roman" w:cstheme="minorHAnsi"/>
          <w:b/>
          <w:color w:val="4F81BD" w:themeColor="accent1"/>
          <w:sz w:val="24"/>
          <w:szCs w:val="24"/>
          <w:lang w:eastAsia="en-NZ"/>
        </w:rPr>
        <w:t>Sustaining a d</w:t>
      </w:r>
      <w:r w:rsidR="00FD7FF0" w:rsidRPr="00B045BB">
        <w:rPr>
          <w:rFonts w:eastAsia="Times New Roman" w:cstheme="minorHAnsi"/>
          <w:b/>
          <w:color w:val="4F81BD" w:themeColor="accent1"/>
          <w:sz w:val="24"/>
          <w:szCs w:val="24"/>
          <w:lang w:eastAsia="en-NZ"/>
        </w:rPr>
        <w:t xml:space="preserve">ual </w:t>
      </w:r>
      <w:r w:rsidRPr="00B045BB">
        <w:rPr>
          <w:rFonts w:eastAsia="Times New Roman" w:cstheme="minorHAnsi"/>
          <w:b/>
          <w:color w:val="4F81BD" w:themeColor="accent1"/>
          <w:sz w:val="24"/>
          <w:szCs w:val="24"/>
          <w:lang w:eastAsia="en-NZ"/>
        </w:rPr>
        <w:t>education s</w:t>
      </w:r>
      <w:r w:rsidR="00FD7FF0" w:rsidRPr="00B045BB">
        <w:rPr>
          <w:rFonts w:eastAsia="Times New Roman" w:cstheme="minorHAnsi"/>
          <w:b/>
          <w:color w:val="4F81BD" w:themeColor="accent1"/>
          <w:sz w:val="24"/>
          <w:szCs w:val="24"/>
          <w:lang w:eastAsia="en-NZ"/>
        </w:rPr>
        <w:t xml:space="preserve">ystem </w:t>
      </w:r>
    </w:p>
    <w:p w14:paraId="00F29DE8" w14:textId="77777777" w:rsidR="00FD7FF0" w:rsidRPr="00B045BB" w:rsidRDefault="00FD7FF0" w:rsidP="00180DE5">
      <w:pPr>
        <w:pStyle w:val="ListParagraph"/>
        <w:ind w:left="0"/>
        <w:rPr>
          <w:rFonts w:eastAsia="Times New Roman" w:cstheme="minorHAnsi"/>
          <w:b/>
          <w:color w:val="4F81BD" w:themeColor="accent1"/>
          <w:sz w:val="24"/>
          <w:szCs w:val="24"/>
          <w:lang w:eastAsia="en-NZ"/>
        </w:rPr>
      </w:pPr>
    </w:p>
    <w:p w14:paraId="76A08D1E" w14:textId="07708054" w:rsidR="000F1D48" w:rsidRPr="00B045BB" w:rsidRDefault="000F4A36" w:rsidP="00C00629">
      <w:pPr>
        <w:pStyle w:val="ListParagraph"/>
        <w:numPr>
          <w:ilvl w:val="0"/>
          <w:numId w:val="7"/>
        </w:numPr>
        <w:spacing w:before="100" w:beforeAutospacing="1" w:after="100" w:afterAutospacing="1"/>
        <w:rPr>
          <w:rFonts w:eastAsia="Times New Roman" w:cstheme="minorHAnsi"/>
          <w:b/>
          <w:color w:val="000000"/>
          <w:sz w:val="24"/>
          <w:szCs w:val="24"/>
          <w:lang w:eastAsia="en-NZ"/>
        </w:rPr>
      </w:pPr>
      <w:r w:rsidRPr="00B045BB">
        <w:rPr>
          <w:rFonts w:eastAsia="Times New Roman" w:cstheme="minorHAnsi"/>
          <w:color w:val="000000"/>
          <w:sz w:val="24"/>
          <w:szCs w:val="24"/>
          <w:lang w:eastAsia="en-NZ"/>
        </w:rPr>
        <w:t xml:space="preserve">The New Zealand </w:t>
      </w:r>
      <w:r w:rsidR="00D45D41">
        <w:rPr>
          <w:rFonts w:eastAsia="Times New Roman" w:cstheme="minorHAnsi"/>
          <w:color w:val="000000"/>
          <w:sz w:val="24"/>
          <w:szCs w:val="24"/>
          <w:lang w:eastAsia="en-NZ"/>
        </w:rPr>
        <w:t>G</w:t>
      </w:r>
      <w:r w:rsidRPr="00B045BB">
        <w:rPr>
          <w:rFonts w:eastAsia="Times New Roman" w:cstheme="minorHAnsi"/>
          <w:color w:val="000000"/>
          <w:sz w:val="24"/>
          <w:szCs w:val="24"/>
          <w:lang w:eastAsia="en-NZ"/>
        </w:rPr>
        <w:t>overnment</w:t>
      </w:r>
      <w:r w:rsidR="0065514C" w:rsidRPr="00B045BB">
        <w:rPr>
          <w:rFonts w:eastAsia="Times New Roman" w:cstheme="minorHAnsi"/>
          <w:color w:val="000000"/>
          <w:sz w:val="24"/>
          <w:szCs w:val="24"/>
          <w:lang w:eastAsia="en-NZ"/>
        </w:rPr>
        <w:t xml:space="preserve"> in </w:t>
      </w:r>
      <w:proofErr w:type="gramStart"/>
      <w:r w:rsidR="0065514C" w:rsidRPr="00B045BB">
        <w:rPr>
          <w:rFonts w:eastAsia="Times New Roman" w:cstheme="minorHAnsi"/>
          <w:color w:val="000000"/>
          <w:sz w:val="24"/>
          <w:szCs w:val="24"/>
          <w:lang w:eastAsia="en-NZ"/>
        </w:rPr>
        <w:t xml:space="preserve">2022 </w:t>
      </w:r>
      <w:r w:rsidRPr="00B045BB">
        <w:rPr>
          <w:rFonts w:eastAsia="Times New Roman" w:cstheme="minorHAnsi"/>
          <w:color w:val="000000"/>
          <w:sz w:val="24"/>
          <w:szCs w:val="24"/>
          <w:lang w:eastAsia="en-NZ"/>
        </w:rPr>
        <w:t xml:space="preserve"> continues</w:t>
      </w:r>
      <w:proofErr w:type="gramEnd"/>
      <w:r w:rsidRPr="00B045BB">
        <w:rPr>
          <w:rFonts w:eastAsia="Times New Roman" w:cstheme="minorHAnsi"/>
          <w:color w:val="000000"/>
          <w:sz w:val="24"/>
          <w:szCs w:val="24"/>
          <w:lang w:eastAsia="en-NZ"/>
        </w:rPr>
        <w:t xml:space="preserve"> to susta</w:t>
      </w:r>
      <w:r w:rsidR="008864C6" w:rsidRPr="00B045BB">
        <w:rPr>
          <w:rFonts w:eastAsia="Times New Roman" w:cstheme="minorHAnsi"/>
          <w:color w:val="000000"/>
          <w:sz w:val="24"/>
          <w:szCs w:val="24"/>
          <w:lang w:eastAsia="en-NZ"/>
        </w:rPr>
        <w:t>in</w:t>
      </w:r>
      <w:r w:rsidRPr="00B045BB">
        <w:rPr>
          <w:rFonts w:eastAsia="Times New Roman" w:cstheme="minorHAnsi"/>
          <w:color w:val="000000"/>
          <w:sz w:val="24"/>
          <w:szCs w:val="24"/>
          <w:lang w:eastAsia="en-NZ"/>
        </w:rPr>
        <w:t xml:space="preserve"> </w:t>
      </w:r>
      <w:r w:rsidR="008864C6" w:rsidRPr="00B045BB">
        <w:rPr>
          <w:rFonts w:cstheme="minorHAnsi"/>
          <w:sz w:val="24"/>
          <w:szCs w:val="24"/>
        </w:rPr>
        <w:t>a dual education system that segregates</w:t>
      </w:r>
      <w:r w:rsidR="0093252E" w:rsidRPr="00B045BB">
        <w:rPr>
          <w:rFonts w:cstheme="minorHAnsi"/>
          <w:sz w:val="24"/>
          <w:szCs w:val="24"/>
        </w:rPr>
        <w:t xml:space="preserve"> some</w:t>
      </w:r>
      <w:r w:rsidR="008864C6" w:rsidRPr="00B045BB">
        <w:rPr>
          <w:rFonts w:cstheme="minorHAnsi"/>
          <w:sz w:val="24"/>
          <w:szCs w:val="24"/>
        </w:rPr>
        <w:t xml:space="preserve"> disabled children in special schools, including based on parental choice</w:t>
      </w:r>
      <w:r w:rsidR="00163D94" w:rsidRPr="00B045BB">
        <w:rPr>
          <w:rFonts w:eastAsia="Times New Roman" w:cstheme="minorHAnsi"/>
          <w:b/>
          <w:color w:val="000000"/>
          <w:sz w:val="24"/>
          <w:szCs w:val="24"/>
          <w:lang w:eastAsia="en-NZ"/>
        </w:rPr>
        <w:t>.</w:t>
      </w:r>
    </w:p>
    <w:p w14:paraId="0852AED1" w14:textId="77777777" w:rsidR="00FD7FF0" w:rsidRPr="00B045BB" w:rsidRDefault="00163D94" w:rsidP="000F1D48">
      <w:pPr>
        <w:pStyle w:val="ListParagraph"/>
        <w:spacing w:before="100" w:beforeAutospacing="1" w:after="100" w:afterAutospacing="1"/>
        <w:ind w:left="360"/>
        <w:rPr>
          <w:rFonts w:eastAsia="Times New Roman" w:cstheme="minorHAnsi"/>
          <w:b/>
          <w:color w:val="000000"/>
          <w:sz w:val="24"/>
          <w:szCs w:val="24"/>
          <w:lang w:eastAsia="en-NZ"/>
        </w:rPr>
      </w:pPr>
      <w:r w:rsidRPr="00B045BB">
        <w:rPr>
          <w:rFonts w:eastAsia="Times New Roman" w:cstheme="minorHAnsi"/>
          <w:b/>
          <w:color w:val="000000"/>
          <w:sz w:val="24"/>
          <w:szCs w:val="24"/>
          <w:lang w:eastAsia="en-NZ"/>
        </w:rPr>
        <w:t xml:space="preserve"> </w:t>
      </w:r>
    </w:p>
    <w:p w14:paraId="67092AC4" w14:textId="49F02D47" w:rsidR="00416F0D" w:rsidRPr="00B045BB" w:rsidRDefault="00416F0D" w:rsidP="00C00629">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A recent review of New Zealand’s self-</w:t>
      </w:r>
      <w:r w:rsidR="007C3FD3" w:rsidRPr="00B045BB">
        <w:rPr>
          <w:rFonts w:eastAsia="Times New Roman" w:cstheme="minorHAnsi"/>
          <w:color w:val="000000"/>
          <w:sz w:val="24"/>
          <w:szCs w:val="24"/>
          <w:lang w:eastAsia="en-NZ"/>
        </w:rPr>
        <w:t>managing school delivery model ‘</w:t>
      </w:r>
      <w:r w:rsidRPr="00B045BB">
        <w:rPr>
          <w:rFonts w:eastAsia="Times New Roman" w:cstheme="minorHAnsi"/>
          <w:color w:val="000000"/>
          <w:sz w:val="24"/>
          <w:szCs w:val="24"/>
          <w:lang w:eastAsia="en-NZ"/>
        </w:rPr>
        <w:t xml:space="preserve">Our </w:t>
      </w:r>
      <w:r w:rsidR="006A50E7" w:rsidRPr="00B045BB">
        <w:rPr>
          <w:rFonts w:eastAsia="Times New Roman" w:cstheme="minorHAnsi"/>
          <w:color w:val="000000"/>
          <w:sz w:val="24"/>
          <w:szCs w:val="24"/>
          <w:lang w:eastAsia="en-NZ"/>
        </w:rPr>
        <w:t>schooling</w:t>
      </w:r>
      <w:r w:rsidRPr="00B045BB">
        <w:rPr>
          <w:rFonts w:eastAsia="Times New Roman" w:cstheme="minorHAnsi"/>
          <w:color w:val="000000"/>
          <w:sz w:val="24"/>
          <w:szCs w:val="24"/>
          <w:lang w:eastAsia="en-NZ"/>
        </w:rPr>
        <w:t xml:space="preserve"> futures</w:t>
      </w:r>
      <w:r w:rsidR="008B7F73" w:rsidRPr="00B045BB">
        <w:rPr>
          <w:rFonts w:eastAsia="Times New Roman" w:cstheme="minorHAnsi"/>
          <w:color w:val="000000"/>
          <w:sz w:val="24"/>
          <w:szCs w:val="24"/>
          <w:lang w:eastAsia="en-NZ"/>
        </w:rPr>
        <w:t>:</w:t>
      </w:r>
      <w:r w:rsidRPr="00B045BB">
        <w:rPr>
          <w:rFonts w:eastAsia="Times New Roman" w:cstheme="minorHAnsi"/>
          <w:color w:val="000000"/>
          <w:sz w:val="24"/>
          <w:szCs w:val="24"/>
          <w:lang w:eastAsia="en-NZ"/>
        </w:rPr>
        <w:t xml:space="preserve"> stronger together</w:t>
      </w:r>
      <w:r w:rsidR="007C3FD3" w:rsidRPr="00B045BB">
        <w:rPr>
          <w:rFonts w:eastAsia="Times New Roman" w:cstheme="minorHAnsi"/>
          <w:color w:val="000000"/>
          <w:sz w:val="24"/>
          <w:szCs w:val="24"/>
          <w:lang w:eastAsia="en-NZ"/>
        </w:rPr>
        <w:t>’</w:t>
      </w:r>
      <w:r w:rsidR="008B7F73" w:rsidRPr="00B045BB">
        <w:rPr>
          <w:rStyle w:val="FootnoteReference"/>
          <w:rFonts w:eastAsia="Times New Roman" w:cstheme="minorHAnsi"/>
          <w:color w:val="000000"/>
          <w:sz w:val="24"/>
          <w:szCs w:val="24"/>
          <w:lang w:eastAsia="en-NZ"/>
        </w:rPr>
        <w:footnoteReference w:id="4"/>
      </w:r>
      <w:r w:rsidR="00C936D3"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reported that parental choice to</w:t>
      </w:r>
      <w:r w:rsidR="00C936D3"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enrol their disabled child in</w:t>
      </w:r>
      <w:r w:rsidR="00C936D3"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a segregated setting was influen</w:t>
      </w:r>
      <w:r w:rsidR="0093252E" w:rsidRPr="00B045BB">
        <w:rPr>
          <w:rFonts w:eastAsia="Times New Roman" w:cstheme="minorHAnsi"/>
          <w:color w:val="000000"/>
          <w:sz w:val="24"/>
          <w:szCs w:val="24"/>
          <w:lang w:eastAsia="en-NZ"/>
        </w:rPr>
        <w:t xml:space="preserve">ced by </w:t>
      </w:r>
      <w:r w:rsidR="00CE4F91" w:rsidRPr="00B045BB">
        <w:rPr>
          <w:rFonts w:eastAsia="Times New Roman" w:cstheme="minorHAnsi"/>
          <w:color w:val="000000"/>
          <w:sz w:val="24"/>
          <w:szCs w:val="24"/>
          <w:lang w:eastAsia="en-NZ"/>
        </w:rPr>
        <w:t xml:space="preserve">experiences of </w:t>
      </w:r>
      <w:r w:rsidR="00C936D3" w:rsidRPr="00B045BB">
        <w:rPr>
          <w:rFonts w:eastAsia="Times New Roman" w:cstheme="minorHAnsi"/>
          <w:color w:val="000000"/>
          <w:sz w:val="24"/>
          <w:szCs w:val="24"/>
          <w:lang w:eastAsia="en-NZ"/>
        </w:rPr>
        <w:t>not feeling welcome</w:t>
      </w:r>
      <w:r w:rsidR="00CE4F91" w:rsidRPr="00B045BB">
        <w:rPr>
          <w:rFonts w:eastAsia="Times New Roman" w:cstheme="minorHAnsi"/>
          <w:color w:val="000000"/>
          <w:sz w:val="24"/>
          <w:szCs w:val="24"/>
          <w:lang w:eastAsia="en-NZ"/>
        </w:rPr>
        <w:t xml:space="preserve"> </w:t>
      </w:r>
      <w:r w:rsidR="0065514C" w:rsidRPr="00B045BB">
        <w:rPr>
          <w:rFonts w:eastAsia="Times New Roman" w:cstheme="minorHAnsi"/>
          <w:color w:val="000000"/>
          <w:sz w:val="24"/>
          <w:szCs w:val="24"/>
          <w:lang w:eastAsia="en-NZ"/>
        </w:rPr>
        <w:t>at school</w:t>
      </w:r>
      <w:r w:rsidR="00CE4F91" w:rsidRPr="00B045BB">
        <w:rPr>
          <w:rFonts w:eastAsia="Times New Roman" w:cstheme="minorHAnsi"/>
          <w:color w:val="000000"/>
          <w:sz w:val="24"/>
          <w:szCs w:val="24"/>
          <w:lang w:eastAsia="en-NZ"/>
        </w:rPr>
        <w:t xml:space="preserve"> and</w:t>
      </w:r>
      <w:r w:rsidR="00E3039D">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 xml:space="preserve">conditions placed on </w:t>
      </w:r>
      <w:r w:rsidR="00CE4F91" w:rsidRPr="00B045BB">
        <w:rPr>
          <w:rFonts w:eastAsia="Times New Roman" w:cstheme="minorHAnsi"/>
          <w:color w:val="000000"/>
          <w:sz w:val="24"/>
          <w:szCs w:val="24"/>
          <w:lang w:eastAsia="en-NZ"/>
        </w:rPr>
        <w:t xml:space="preserve">their child’s </w:t>
      </w:r>
      <w:r w:rsidRPr="00B045BB">
        <w:rPr>
          <w:rFonts w:eastAsia="Times New Roman" w:cstheme="minorHAnsi"/>
          <w:color w:val="000000"/>
          <w:sz w:val="24"/>
          <w:szCs w:val="24"/>
          <w:lang w:eastAsia="en-NZ"/>
        </w:rPr>
        <w:t xml:space="preserve">enrolment </w:t>
      </w:r>
      <w:r w:rsidR="00C936D3" w:rsidRPr="00B045BB">
        <w:rPr>
          <w:rFonts w:eastAsia="Times New Roman" w:cstheme="minorHAnsi"/>
          <w:color w:val="000000"/>
          <w:sz w:val="24"/>
          <w:szCs w:val="24"/>
          <w:lang w:eastAsia="en-NZ"/>
        </w:rPr>
        <w:t>at the local school</w:t>
      </w:r>
      <w:r w:rsidR="00E3039D">
        <w:rPr>
          <w:rFonts w:eastAsia="Times New Roman" w:cstheme="minorHAnsi"/>
          <w:color w:val="000000"/>
          <w:sz w:val="24"/>
          <w:szCs w:val="24"/>
          <w:lang w:eastAsia="en-NZ"/>
        </w:rPr>
        <w:t>,</w:t>
      </w:r>
      <w:r w:rsidR="00C936D3" w:rsidRPr="00B045BB">
        <w:rPr>
          <w:rFonts w:eastAsia="Times New Roman" w:cstheme="minorHAnsi"/>
          <w:color w:val="000000"/>
          <w:sz w:val="24"/>
          <w:szCs w:val="24"/>
          <w:lang w:eastAsia="en-NZ"/>
        </w:rPr>
        <w:t xml:space="preserve"> </w:t>
      </w:r>
      <w:r w:rsidR="0093252E" w:rsidRPr="00B045BB">
        <w:rPr>
          <w:rFonts w:eastAsia="Times New Roman" w:cstheme="minorHAnsi"/>
          <w:color w:val="000000"/>
          <w:sz w:val="24"/>
          <w:szCs w:val="24"/>
          <w:lang w:eastAsia="en-NZ"/>
        </w:rPr>
        <w:t>and</w:t>
      </w:r>
      <w:r w:rsidRPr="00B045BB">
        <w:rPr>
          <w:rFonts w:eastAsia="Times New Roman" w:cstheme="minorHAnsi"/>
          <w:color w:val="000000"/>
          <w:sz w:val="24"/>
          <w:szCs w:val="24"/>
          <w:lang w:eastAsia="en-NZ"/>
        </w:rPr>
        <w:t xml:space="preserve"> their perception that</w:t>
      </w:r>
      <w:r w:rsidR="0065514C" w:rsidRPr="00B045BB">
        <w:rPr>
          <w:rFonts w:eastAsia="Times New Roman" w:cstheme="minorHAnsi"/>
          <w:color w:val="000000"/>
          <w:sz w:val="24"/>
          <w:szCs w:val="24"/>
          <w:lang w:eastAsia="en-NZ"/>
        </w:rPr>
        <w:t xml:space="preserve"> local </w:t>
      </w:r>
      <w:r w:rsidRPr="00B045BB">
        <w:rPr>
          <w:rFonts w:eastAsia="Times New Roman" w:cstheme="minorHAnsi"/>
          <w:color w:val="000000"/>
          <w:sz w:val="24"/>
          <w:szCs w:val="24"/>
          <w:lang w:eastAsia="en-NZ"/>
        </w:rPr>
        <w:t>schools lacked the resources and expertise to meet their child’s needs.</w:t>
      </w:r>
    </w:p>
    <w:p w14:paraId="65BA8CCC" w14:textId="77777777" w:rsidR="000F1D48" w:rsidRPr="00B045BB" w:rsidRDefault="000F1D48" w:rsidP="000F1D48">
      <w:pPr>
        <w:pStyle w:val="ListParagraph"/>
        <w:rPr>
          <w:rFonts w:eastAsia="Times New Roman" w:cstheme="minorHAnsi"/>
          <w:color w:val="000000"/>
          <w:sz w:val="24"/>
          <w:szCs w:val="24"/>
          <w:lang w:eastAsia="en-NZ"/>
        </w:rPr>
      </w:pPr>
    </w:p>
    <w:p w14:paraId="40B86805" w14:textId="1E05DF07" w:rsidR="000F1D48" w:rsidRPr="00B045BB" w:rsidRDefault="0093252E" w:rsidP="00C00629">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A 2022 survey of families</w:t>
      </w:r>
      <w:r w:rsidR="00C936D3" w:rsidRPr="00B045BB">
        <w:rPr>
          <w:rFonts w:eastAsia="Times New Roman" w:cstheme="minorHAnsi"/>
          <w:color w:val="000000"/>
          <w:sz w:val="24"/>
          <w:szCs w:val="24"/>
          <w:lang w:eastAsia="en-NZ"/>
        </w:rPr>
        <w:t xml:space="preserve"> </w:t>
      </w:r>
      <w:r w:rsidR="000F1D48" w:rsidRPr="00B045BB">
        <w:rPr>
          <w:rFonts w:eastAsia="Times New Roman" w:cstheme="minorHAnsi"/>
          <w:color w:val="000000"/>
          <w:sz w:val="24"/>
          <w:szCs w:val="24"/>
          <w:lang w:eastAsia="en-NZ"/>
        </w:rPr>
        <w:t>and education professionals carried o</w:t>
      </w:r>
      <w:r w:rsidR="00C936D3" w:rsidRPr="00B045BB">
        <w:rPr>
          <w:rFonts w:eastAsia="Times New Roman" w:cstheme="minorHAnsi"/>
          <w:color w:val="000000"/>
          <w:sz w:val="24"/>
          <w:szCs w:val="24"/>
          <w:lang w:eastAsia="en-NZ"/>
        </w:rPr>
        <w:t>ut by IHC identifie</w:t>
      </w:r>
      <w:r w:rsidR="000F1D48" w:rsidRPr="00B045BB">
        <w:rPr>
          <w:rFonts w:eastAsia="Times New Roman" w:cstheme="minorHAnsi"/>
          <w:color w:val="000000"/>
          <w:sz w:val="24"/>
          <w:szCs w:val="24"/>
          <w:lang w:eastAsia="en-NZ"/>
        </w:rPr>
        <w:t>d</w:t>
      </w:r>
      <w:r w:rsidR="00B02776" w:rsidRPr="00B045BB">
        <w:rPr>
          <w:rFonts w:eastAsia="Times New Roman" w:cstheme="minorHAnsi"/>
          <w:color w:val="000000"/>
          <w:sz w:val="24"/>
          <w:szCs w:val="24"/>
          <w:lang w:eastAsia="en-NZ"/>
        </w:rPr>
        <w:t xml:space="preserve"> 95-99</w:t>
      </w:r>
      <w:r w:rsidR="000F1D48" w:rsidRPr="00B045BB">
        <w:rPr>
          <w:rFonts w:eastAsia="Times New Roman" w:cstheme="minorHAnsi"/>
          <w:color w:val="000000"/>
          <w:sz w:val="24"/>
          <w:szCs w:val="24"/>
          <w:lang w:eastAsia="en-NZ"/>
        </w:rPr>
        <w:t>% of the 600 respondents said that that funding for disabled students does not deliver what they need to access education</w:t>
      </w:r>
      <w:r w:rsidR="00B02776" w:rsidRPr="00B045BB">
        <w:rPr>
          <w:rFonts w:eastAsia="Times New Roman" w:cstheme="minorHAnsi"/>
          <w:color w:val="000000"/>
          <w:sz w:val="24"/>
          <w:szCs w:val="24"/>
          <w:lang w:eastAsia="en-NZ"/>
        </w:rPr>
        <w:t xml:space="preserve"> at their local school.</w:t>
      </w:r>
      <w:r w:rsidR="003E615C" w:rsidRPr="00B045BB">
        <w:rPr>
          <w:rStyle w:val="FootnoteReference"/>
          <w:rFonts w:eastAsia="Times New Roman" w:cstheme="minorHAnsi"/>
          <w:color w:val="000000"/>
          <w:sz w:val="24"/>
          <w:szCs w:val="24"/>
          <w:lang w:eastAsia="en-NZ"/>
        </w:rPr>
        <w:footnoteReference w:id="5"/>
      </w:r>
      <w:r w:rsidR="00B045BB" w:rsidRPr="00B045BB">
        <w:rPr>
          <w:rFonts w:eastAsia="Times New Roman" w:cstheme="minorHAnsi"/>
          <w:color w:val="000000"/>
          <w:sz w:val="24"/>
          <w:szCs w:val="24"/>
          <w:lang w:eastAsia="en-NZ"/>
        </w:rPr>
        <w:t xml:space="preserve"> Despite the Ministry of Education’s stated intent for inclusive education</w:t>
      </w:r>
      <w:r w:rsidR="00E3039D">
        <w:rPr>
          <w:rFonts w:eastAsia="Times New Roman" w:cstheme="minorHAnsi"/>
          <w:color w:val="000000"/>
          <w:sz w:val="24"/>
          <w:szCs w:val="24"/>
          <w:lang w:eastAsia="en-NZ"/>
        </w:rPr>
        <w:t>,</w:t>
      </w:r>
      <w:r w:rsidR="00B045BB" w:rsidRPr="00B045BB">
        <w:rPr>
          <w:rFonts w:eastAsia="Times New Roman" w:cstheme="minorHAnsi"/>
          <w:color w:val="000000"/>
          <w:sz w:val="24"/>
          <w:szCs w:val="24"/>
          <w:lang w:eastAsia="en-NZ"/>
        </w:rPr>
        <w:t xml:space="preserve"> there is no  coherent plan in place to address the problems currently being experienced by disabled students in accessing education or to ensure an enforceable right to education.</w:t>
      </w:r>
    </w:p>
    <w:p w14:paraId="7D7B4F98" w14:textId="77777777" w:rsidR="00FD7FF0" w:rsidRPr="00B045BB" w:rsidRDefault="00FD7FF0" w:rsidP="00FD7FF0">
      <w:pPr>
        <w:pStyle w:val="ListParagraph"/>
        <w:spacing w:before="100" w:beforeAutospacing="1" w:after="100" w:afterAutospacing="1"/>
        <w:ind w:left="360"/>
        <w:rPr>
          <w:rFonts w:eastAsia="Times New Roman" w:cstheme="minorHAnsi"/>
          <w:b/>
          <w:color w:val="000000"/>
          <w:sz w:val="24"/>
          <w:szCs w:val="24"/>
          <w:lang w:eastAsia="en-NZ"/>
        </w:rPr>
      </w:pPr>
    </w:p>
    <w:p w14:paraId="7EA97ADE" w14:textId="3D62B923" w:rsidR="00FD7FF0" w:rsidRPr="00B045BB" w:rsidRDefault="00FD576E" w:rsidP="00615A13">
      <w:pPr>
        <w:pStyle w:val="ListParagraph"/>
        <w:numPr>
          <w:ilvl w:val="0"/>
          <w:numId w:val="7"/>
        </w:numPr>
        <w:spacing w:before="100" w:beforeAutospacing="1" w:after="100" w:afterAutospacing="1"/>
        <w:rPr>
          <w:rFonts w:eastAsia="Times New Roman" w:cstheme="minorHAnsi"/>
          <w:b/>
          <w:color w:val="000000"/>
          <w:sz w:val="24"/>
          <w:szCs w:val="24"/>
          <w:lang w:eastAsia="en-NZ"/>
        </w:rPr>
      </w:pPr>
      <w:r w:rsidRPr="00B045BB">
        <w:rPr>
          <w:rFonts w:eastAsia="Times New Roman" w:cstheme="minorHAnsi"/>
          <w:color w:val="000000"/>
          <w:sz w:val="24"/>
          <w:szCs w:val="24"/>
          <w:lang w:eastAsia="en-NZ"/>
        </w:rPr>
        <w:t xml:space="preserve">While </w:t>
      </w:r>
      <w:r w:rsidR="00AD0CF1" w:rsidRPr="00B045BB">
        <w:rPr>
          <w:rFonts w:eastAsia="Times New Roman" w:cstheme="minorHAnsi"/>
          <w:color w:val="000000"/>
          <w:sz w:val="24"/>
          <w:szCs w:val="24"/>
          <w:lang w:eastAsia="en-NZ"/>
        </w:rPr>
        <w:t xml:space="preserve">nationally </w:t>
      </w:r>
      <w:r w:rsidR="000F4A36" w:rsidRPr="00B045BB">
        <w:rPr>
          <w:rFonts w:eastAsia="Times New Roman" w:cstheme="minorHAnsi"/>
          <w:color w:val="000000"/>
          <w:sz w:val="24"/>
          <w:szCs w:val="24"/>
          <w:lang w:eastAsia="en-NZ"/>
        </w:rPr>
        <w:t xml:space="preserve">only a small number of disabled children </w:t>
      </w:r>
      <w:r w:rsidR="006A0D9E" w:rsidRPr="00B045BB">
        <w:rPr>
          <w:rFonts w:eastAsia="Times New Roman" w:cstheme="minorHAnsi"/>
          <w:color w:val="000000"/>
          <w:sz w:val="24"/>
          <w:szCs w:val="24"/>
          <w:lang w:eastAsia="en-NZ"/>
        </w:rPr>
        <w:t xml:space="preserve">are </w:t>
      </w:r>
      <w:r w:rsidR="000F4A36" w:rsidRPr="00B045BB">
        <w:rPr>
          <w:rFonts w:eastAsia="Times New Roman" w:cstheme="minorHAnsi"/>
          <w:color w:val="000000"/>
          <w:sz w:val="24"/>
          <w:szCs w:val="24"/>
          <w:lang w:eastAsia="en-NZ"/>
        </w:rPr>
        <w:t xml:space="preserve">currently </w:t>
      </w:r>
      <w:r w:rsidR="008864C6" w:rsidRPr="00B045BB">
        <w:rPr>
          <w:rFonts w:eastAsia="Times New Roman" w:cstheme="minorHAnsi"/>
          <w:color w:val="000000"/>
          <w:sz w:val="24"/>
          <w:szCs w:val="24"/>
          <w:lang w:eastAsia="en-NZ"/>
        </w:rPr>
        <w:t>segregated</w:t>
      </w:r>
      <w:r w:rsidR="00EA06B9" w:rsidRPr="00B045BB">
        <w:rPr>
          <w:rFonts w:eastAsia="Times New Roman" w:cstheme="minorHAnsi"/>
          <w:color w:val="000000"/>
          <w:sz w:val="24"/>
          <w:szCs w:val="24"/>
          <w:lang w:eastAsia="en-NZ"/>
        </w:rPr>
        <w:t xml:space="preserve"> </w:t>
      </w:r>
      <w:r w:rsidR="008C3652" w:rsidRPr="00B045BB">
        <w:rPr>
          <w:rFonts w:eastAsia="Times New Roman" w:cstheme="minorHAnsi"/>
          <w:color w:val="000000"/>
          <w:sz w:val="24"/>
          <w:szCs w:val="24"/>
          <w:lang w:eastAsia="en-NZ"/>
        </w:rPr>
        <w:t>(</w:t>
      </w:r>
      <w:r w:rsidR="00EA06B9" w:rsidRPr="00B045BB">
        <w:rPr>
          <w:rFonts w:eastAsia="Times New Roman" w:cstheme="minorHAnsi"/>
          <w:color w:val="000000"/>
          <w:sz w:val="24"/>
          <w:szCs w:val="24"/>
          <w:lang w:eastAsia="en-NZ"/>
        </w:rPr>
        <w:t>relative to those enrol</w:t>
      </w:r>
      <w:r w:rsidR="00FD7FF0" w:rsidRPr="00B045BB">
        <w:rPr>
          <w:rFonts w:eastAsia="Times New Roman" w:cstheme="minorHAnsi"/>
          <w:color w:val="000000"/>
          <w:sz w:val="24"/>
          <w:szCs w:val="24"/>
          <w:lang w:eastAsia="en-NZ"/>
        </w:rPr>
        <w:t>l</w:t>
      </w:r>
      <w:r w:rsidR="00EA06B9" w:rsidRPr="00B045BB">
        <w:rPr>
          <w:rFonts w:eastAsia="Times New Roman" w:cstheme="minorHAnsi"/>
          <w:color w:val="000000"/>
          <w:sz w:val="24"/>
          <w:szCs w:val="24"/>
          <w:lang w:eastAsia="en-NZ"/>
        </w:rPr>
        <w:t xml:space="preserve">ed in mainstream </w:t>
      </w:r>
      <w:r w:rsidR="008C3652" w:rsidRPr="00B045BB">
        <w:rPr>
          <w:rFonts w:eastAsia="Times New Roman" w:cstheme="minorHAnsi"/>
          <w:color w:val="000000"/>
          <w:sz w:val="24"/>
          <w:szCs w:val="24"/>
          <w:lang w:eastAsia="en-NZ"/>
        </w:rPr>
        <w:t>education settings)</w:t>
      </w:r>
      <w:r w:rsidR="00615A13" w:rsidRPr="00B045BB">
        <w:rPr>
          <w:rFonts w:eastAsia="Times New Roman" w:cstheme="minorHAnsi"/>
          <w:color w:val="000000"/>
          <w:sz w:val="24"/>
          <w:szCs w:val="24"/>
          <w:lang w:eastAsia="en-NZ"/>
        </w:rPr>
        <w:t xml:space="preserve"> this</w:t>
      </w:r>
      <w:r w:rsidR="00AD0CF1" w:rsidRPr="00B045BB">
        <w:rPr>
          <w:rFonts w:eastAsia="Times New Roman" w:cstheme="minorHAnsi"/>
          <w:color w:val="000000"/>
          <w:sz w:val="24"/>
          <w:szCs w:val="24"/>
          <w:lang w:eastAsia="en-NZ"/>
        </w:rPr>
        <w:t xml:space="preserve"> varies widely </w:t>
      </w:r>
      <w:r w:rsidR="00C00629" w:rsidRPr="00B045BB">
        <w:rPr>
          <w:rFonts w:eastAsia="Times New Roman" w:cstheme="minorHAnsi"/>
          <w:color w:val="000000"/>
          <w:sz w:val="24"/>
          <w:szCs w:val="24"/>
          <w:lang w:eastAsia="en-NZ"/>
        </w:rPr>
        <w:t>across the country and numbers</w:t>
      </w:r>
      <w:r w:rsidR="00334BF7" w:rsidRPr="00B045BB">
        <w:rPr>
          <w:rFonts w:eastAsia="Times New Roman" w:cstheme="minorHAnsi"/>
          <w:color w:val="000000"/>
          <w:sz w:val="24"/>
          <w:szCs w:val="24"/>
          <w:lang w:eastAsia="en-NZ"/>
        </w:rPr>
        <w:t>,</w:t>
      </w:r>
      <w:r w:rsidR="00C00629" w:rsidRPr="00B045BB">
        <w:rPr>
          <w:rFonts w:eastAsia="Times New Roman" w:cstheme="minorHAnsi"/>
          <w:color w:val="000000"/>
          <w:sz w:val="24"/>
          <w:szCs w:val="24"/>
          <w:lang w:eastAsia="en-NZ"/>
        </w:rPr>
        <w:t xml:space="preserve"> </w:t>
      </w:r>
      <w:r w:rsidR="00EC1224" w:rsidRPr="00B045BB">
        <w:rPr>
          <w:rFonts w:eastAsia="Times New Roman" w:cstheme="minorHAnsi"/>
          <w:color w:val="000000"/>
          <w:sz w:val="24"/>
          <w:szCs w:val="24"/>
          <w:lang w:eastAsia="en-NZ"/>
        </w:rPr>
        <w:t>especially in urban areas</w:t>
      </w:r>
      <w:r w:rsidR="00334BF7" w:rsidRPr="00B045BB">
        <w:rPr>
          <w:rFonts w:eastAsia="Times New Roman" w:cstheme="minorHAnsi"/>
          <w:color w:val="000000"/>
          <w:sz w:val="24"/>
          <w:szCs w:val="24"/>
          <w:lang w:eastAsia="en-NZ"/>
        </w:rPr>
        <w:t>,</w:t>
      </w:r>
      <w:r w:rsidR="00EC1224" w:rsidRPr="00B045BB">
        <w:rPr>
          <w:rFonts w:eastAsia="Times New Roman" w:cstheme="minorHAnsi"/>
          <w:color w:val="000000"/>
          <w:sz w:val="24"/>
          <w:szCs w:val="24"/>
          <w:lang w:eastAsia="en-NZ"/>
        </w:rPr>
        <w:t xml:space="preserve"> are </w:t>
      </w:r>
      <w:r w:rsidR="00C00629" w:rsidRPr="00B045BB">
        <w:rPr>
          <w:rFonts w:eastAsia="Times New Roman" w:cstheme="minorHAnsi"/>
          <w:color w:val="000000"/>
          <w:sz w:val="24"/>
          <w:szCs w:val="24"/>
          <w:lang w:eastAsia="en-NZ"/>
        </w:rPr>
        <w:t xml:space="preserve">increasing. </w:t>
      </w:r>
      <w:r w:rsidR="00A83CDD" w:rsidRPr="00B045BB">
        <w:rPr>
          <w:rStyle w:val="FootnoteReference"/>
          <w:rFonts w:eastAsia="Times New Roman" w:cstheme="minorHAnsi"/>
          <w:color w:val="000000"/>
          <w:sz w:val="24"/>
          <w:szCs w:val="24"/>
          <w:lang w:eastAsia="en-NZ"/>
        </w:rPr>
        <w:footnoteReference w:id="6"/>
      </w:r>
      <w:r w:rsidR="00C00629" w:rsidRPr="00B045BB">
        <w:rPr>
          <w:rFonts w:eastAsia="Times New Roman" w:cstheme="minorHAnsi"/>
          <w:color w:val="000000"/>
          <w:sz w:val="24"/>
          <w:szCs w:val="24"/>
          <w:lang w:eastAsia="en-NZ"/>
        </w:rPr>
        <w:t xml:space="preserve"> </w:t>
      </w:r>
      <w:r w:rsidR="00C00629" w:rsidRPr="00B045BB">
        <w:rPr>
          <w:rFonts w:cstheme="minorHAnsi"/>
          <w:bCs/>
          <w:sz w:val="24"/>
          <w:szCs w:val="24"/>
        </w:rPr>
        <w:t>Currently</w:t>
      </w:r>
      <w:r w:rsidR="0093252E" w:rsidRPr="00B045BB">
        <w:rPr>
          <w:rFonts w:cstheme="minorHAnsi"/>
          <w:bCs/>
          <w:sz w:val="24"/>
          <w:szCs w:val="24"/>
        </w:rPr>
        <w:t>,</w:t>
      </w:r>
      <w:r w:rsidR="00C00629" w:rsidRPr="00B045BB">
        <w:rPr>
          <w:rFonts w:cstheme="minorHAnsi"/>
          <w:bCs/>
          <w:sz w:val="24"/>
          <w:szCs w:val="24"/>
        </w:rPr>
        <w:t xml:space="preserve"> over a third of students with the highest </w:t>
      </w:r>
      <w:r w:rsidR="00442992">
        <w:rPr>
          <w:rFonts w:cstheme="minorHAnsi"/>
          <w:bCs/>
          <w:sz w:val="24"/>
          <w:szCs w:val="24"/>
        </w:rPr>
        <w:t xml:space="preserve">ongoing </w:t>
      </w:r>
      <w:r w:rsidR="00700DCA">
        <w:rPr>
          <w:rFonts w:cstheme="minorHAnsi"/>
          <w:bCs/>
          <w:sz w:val="24"/>
          <w:szCs w:val="24"/>
        </w:rPr>
        <w:t xml:space="preserve">level of disability and </w:t>
      </w:r>
      <w:r w:rsidR="00C00629" w:rsidRPr="00B045BB">
        <w:rPr>
          <w:rFonts w:cstheme="minorHAnsi"/>
          <w:bCs/>
          <w:sz w:val="24"/>
          <w:szCs w:val="24"/>
        </w:rPr>
        <w:t>learning support needs are now enrolled at specialist schools.</w:t>
      </w:r>
      <w:r w:rsidR="00ED0793">
        <w:rPr>
          <w:rStyle w:val="FootnoteReference"/>
          <w:rFonts w:cstheme="minorHAnsi"/>
          <w:bCs/>
          <w:sz w:val="24"/>
          <w:szCs w:val="24"/>
        </w:rPr>
        <w:footnoteReference w:id="7"/>
      </w:r>
      <w:r w:rsidR="00E3039D">
        <w:rPr>
          <w:rFonts w:cstheme="minorHAnsi"/>
          <w:bCs/>
          <w:sz w:val="24"/>
          <w:szCs w:val="24"/>
        </w:rPr>
        <w:t xml:space="preserve"> </w:t>
      </w:r>
      <w:r w:rsidR="00C00629" w:rsidRPr="00B045BB">
        <w:rPr>
          <w:rFonts w:cstheme="minorHAnsi"/>
          <w:bCs/>
          <w:sz w:val="24"/>
          <w:szCs w:val="24"/>
        </w:rPr>
        <w:t xml:space="preserve"> In some areas, such as within the Auckland </w:t>
      </w:r>
      <w:r w:rsidR="00C00629" w:rsidRPr="00B045BB">
        <w:rPr>
          <w:rFonts w:cstheme="minorHAnsi"/>
          <w:bCs/>
          <w:sz w:val="24"/>
          <w:szCs w:val="24"/>
        </w:rPr>
        <w:lastRenderedPageBreak/>
        <w:t xml:space="preserve">region, over 80% are enrolled at a specialist school. </w:t>
      </w:r>
      <w:r w:rsidR="00A83CDD" w:rsidRPr="00B045BB">
        <w:rPr>
          <w:rStyle w:val="FootnoteReference"/>
          <w:rFonts w:cstheme="minorHAnsi"/>
          <w:bCs/>
          <w:sz w:val="24"/>
          <w:szCs w:val="24"/>
        </w:rPr>
        <w:footnoteReference w:id="8"/>
      </w:r>
      <w:r w:rsidR="00C00629" w:rsidRPr="00B045BB">
        <w:rPr>
          <w:rFonts w:cstheme="minorHAnsi"/>
          <w:bCs/>
          <w:sz w:val="24"/>
          <w:szCs w:val="24"/>
        </w:rPr>
        <w:t xml:space="preserve"> </w:t>
      </w:r>
      <w:r w:rsidR="00C00629" w:rsidRPr="00B045BB">
        <w:rPr>
          <w:rFonts w:cstheme="minorHAnsi"/>
          <w:sz w:val="24"/>
          <w:szCs w:val="24"/>
        </w:rPr>
        <w:t xml:space="preserve">The announcement that 24 </w:t>
      </w:r>
      <w:r w:rsidR="00C00629" w:rsidRPr="00B045BB">
        <w:rPr>
          <w:rFonts w:cstheme="minorHAnsi"/>
          <w:bCs/>
          <w:sz w:val="24"/>
          <w:szCs w:val="24"/>
        </w:rPr>
        <w:t xml:space="preserve">additional special education satellite units are planned across the Auckland and Tai </w:t>
      </w:r>
      <w:proofErr w:type="spellStart"/>
      <w:r w:rsidR="00C00629" w:rsidRPr="00B045BB">
        <w:rPr>
          <w:rFonts w:cstheme="minorHAnsi"/>
          <w:bCs/>
          <w:sz w:val="24"/>
          <w:szCs w:val="24"/>
        </w:rPr>
        <w:t>Tokerau</w:t>
      </w:r>
      <w:proofErr w:type="spellEnd"/>
      <w:r w:rsidR="00C00629" w:rsidRPr="00B045BB">
        <w:rPr>
          <w:rFonts w:cstheme="minorHAnsi"/>
          <w:bCs/>
          <w:sz w:val="24"/>
          <w:szCs w:val="24"/>
        </w:rPr>
        <w:t xml:space="preserve"> regions over the next decade</w:t>
      </w:r>
      <w:r w:rsidR="00C00629" w:rsidRPr="00B045BB">
        <w:rPr>
          <w:rStyle w:val="FootnoteReference"/>
          <w:rFonts w:cstheme="minorHAnsi"/>
          <w:sz w:val="24"/>
          <w:szCs w:val="24"/>
        </w:rPr>
        <w:footnoteReference w:id="9"/>
      </w:r>
      <w:r w:rsidR="00C00629" w:rsidRPr="00B045BB">
        <w:rPr>
          <w:rFonts w:cstheme="minorHAnsi"/>
          <w:bCs/>
          <w:sz w:val="24"/>
          <w:szCs w:val="24"/>
        </w:rPr>
        <w:t xml:space="preserve"> is most concerning and we believe, </w:t>
      </w:r>
      <w:r w:rsidR="0093252E" w:rsidRPr="00B045BB">
        <w:rPr>
          <w:rFonts w:cstheme="minorHAnsi"/>
          <w:bCs/>
          <w:sz w:val="24"/>
          <w:szCs w:val="24"/>
        </w:rPr>
        <w:t>is</w:t>
      </w:r>
      <w:r w:rsidR="000F1D48" w:rsidRPr="00B045BB">
        <w:rPr>
          <w:rFonts w:cstheme="minorHAnsi"/>
          <w:bCs/>
          <w:sz w:val="24"/>
          <w:szCs w:val="24"/>
        </w:rPr>
        <w:t xml:space="preserve"> </w:t>
      </w:r>
      <w:r w:rsidR="00C00629" w:rsidRPr="00B045BB">
        <w:rPr>
          <w:rFonts w:cstheme="minorHAnsi"/>
          <w:bCs/>
          <w:sz w:val="24"/>
          <w:szCs w:val="24"/>
        </w:rPr>
        <w:t xml:space="preserve">contrary to New Zealand’s obligations under the CRPD. This </w:t>
      </w:r>
      <w:r w:rsidR="00615A13" w:rsidRPr="00B045BB">
        <w:rPr>
          <w:rFonts w:cstheme="minorHAnsi"/>
          <w:bCs/>
          <w:sz w:val="24"/>
          <w:szCs w:val="24"/>
        </w:rPr>
        <w:t xml:space="preserve">increase </w:t>
      </w:r>
      <w:r w:rsidR="00615A13" w:rsidRPr="00B045BB">
        <w:rPr>
          <w:rFonts w:cstheme="minorHAnsi"/>
          <w:sz w:val="24"/>
          <w:szCs w:val="24"/>
        </w:rPr>
        <w:t>is</w:t>
      </w:r>
      <w:r w:rsidR="00C00629" w:rsidRPr="00B045BB">
        <w:rPr>
          <w:rFonts w:cstheme="minorHAnsi"/>
          <w:sz w:val="24"/>
          <w:szCs w:val="24"/>
        </w:rPr>
        <w:t xml:space="preserve"> </w:t>
      </w:r>
      <w:r w:rsidR="0093252E" w:rsidRPr="00B045BB">
        <w:rPr>
          <w:rFonts w:cstheme="minorHAnsi"/>
          <w:sz w:val="24"/>
          <w:szCs w:val="24"/>
        </w:rPr>
        <w:t xml:space="preserve">claimed to be </w:t>
      </w:r>
      <w:r w:rsidR="00C00629" w:rsidRPr="00B045BB">
        <w:rPr>
          <w:rFonts w:cstheme="minorHAnsi"/>
          <w:sz w:val="24"/>
          <w:szCs w:val="24"/>
        </w:rPr>
        <w:t>justified on the basis that “</w:t>
      </w:r>
      <w:r w:rsidR="00C00629" w:rsidRPr="00B045BB">
        <w:rPr>
          <w:rFonts w:cstheme="minorHAnsi"/>
          <w:i/>
          <w:sz w:val="24"/>
          <w:szCs w:val="24"/>
        </w:rPr>
        <w:t xml:space="preserve">our future planning is responsive to the options that families/whanau are seeking for their children.” </w:t>
      </w:r>
      <w:r w:rsidR="00C00629" w:rsidRPr="00B045BB">
        <w:rPr>
          <w:rStyle w:val="FootnoteReference"/>
          <w:rFonts w:cstheme="minorHAnsi"/>
          <w:i/>
          <w:sz w:val="24"/>
          <w:szCs w:val="24"/>
        </w:rPr>
        <w:footnoteReference w:id="10"/>
      </w:r>
      <w:r w:rsidR="00B045BB" w:rsidRPr="00B045BB">
        <w:rPr>
          <w:rFonts w:cstheme="minorHAnsi"/>
          <w:i/>
          <w:sz w:val="24"/>
          <w:szCs w:val="24"/>
        </w:rPr>
        <w:t xml:space="preserve"> </w:t>
      </w:r>
      <w:r w:rsidR="00B045BB" w:rsidRPr="00B045BB">
        <w:rPr>
          <w:rFonts w:cstheme="minorHAnsi"/>
          <w:iCs/>
          <w:sz w:val="24"/>
          <w:szCs w:val="24"/>
        </w:rPr>
        <w:t xml:space="preserve"> The plans to increase the numbers of segregated educated settings</w:t>
      </w:r>
      <w:r w:rsidR="003F4743">
        <w:rPr>
          <w:rFonts w:cstheme="minorHAnsi"/>
          <w:iCs/>
          <w:sz w:val="24"/>
          <w:szCs w:val="24"/>
        </w:rPr>
        <w:t xml:space="preserve">, </w:t>
      </w:r>
      <w:r w:rsidR="00B045BB" w:rsidRPr="00B045BB">
        <w:rPr>
          <w:rFonts w:cstheme="minorHAnsi"/>
          <w:iCs/>
          <w:sz w:val="24"/>
          <w:szCs w:val="24"/>
        </w:rPr>
        <w:t>however</w:t>
      </w:r>
      <w:r w:rsidR="003F4743">
        <w:rPr>
          <w:rFonts w:cstheme="minorHAnsi"/>
          <w:iCs/>
          <w:sz w:val="24"/>
          <w:szCs w:val="24"/>
        </w:rPr>
        <w:t xml:space="preserve">, </w:t>
      </w:r>
      <w:r w:rsidR="00B045BB" w:rsidRPr="00B045BB">
        <w:rPr>
          <w:rFonts w:cstheme="minorHAnsi"/>
          <w:iCs/>
          <w:sz w:val="24"/>
          <w:szCs w:val="24"/>
        </w:rPr>
        <w:t>clearly</w:t>
      </w:r>
      <w:r w:rsidR="003F4743">
        <w:rPr>
          <w:rFonts w:cstheme="minorHAnsi"/>
          <w:iCs/>
          <w:sz w:val="24"/>
          <w:szCs w:val="24"/>
        </w:rPr>
        <w:t xml:space="preserve"> are inconsistent with CRPD rights to stay in </w:t>
      </w:r>
      <w:r w:rsidR="00B045BB" w:rsidRPr="00B045BB">
        <w:rPr>
          <w:rFonts w:cstheme="minorHAnsi"/>
          <w:iCs/>
          <w:sz w:val="24"/>
          <w:szCs w:val="24"/>
        </w:rPr>
        <w:t>your community and set</w:t>
      </w:r>
      <w:r w:rsidR="003F4743">
        <w:rPr>
          <w:rFonts w:cstheme="minorHAnsi"/>
          <w:iCs/>
          <w:sz w:val="24"/>
          <w:szCs w:val="24"/>
        </w:rPr>
        <w:t>s</w:t>
      </w:r>
      <w:r w:rsidR="00B045BB" w:rsidRPr="00B045BB">
        <w:rPr>
          <w:rFonts w:cstheme="minorHAnsi"/>
          <w:iCs/>
          <w:sz w:val="24"/>
          <w:szCs w:val="24"/>
        </w:rPr>
        <w:t xml:space="preserve"> disabled people up for worse employment or life outcomes than those disabled students in mainstream settings.</w:t>
      </w:r>
    </w:p>
    <w:p w14:paraId="46DB9235" w14:textId="77777777" w:rsidR="00FD7FF0" w:rsidRPr="00B045BB" w:rsidRDefault="00FD7FF0" w:rsidP="00FD7FF0">
      <w:pPr>
        <w:pStyle w:val="ListParagraph"/>
        <w:spacing w:before="100" w:beforeAutospacing="1" w:after="100" w:afterAutospacing="1"/>
        <w:ind w:left="360"/>
        <w:rPr>
          <w:rFonts w:eastAsia="Times New Roman" w:cstheme="minorHAnsi"/>
          <w:b/>
          <w:color w:val="000000"/>
          <w:sz w:val="24"/>
          <w:szCs w:val="24"/>
          <w:lang w:eastAsia="en-NZ"/>
        </w:rPr>
      </w:pPr>
    </w:p>
    <w:p w14:paraId="30382AB0" w14:textId="0F654D1C" w:rsidR="00322E35" w:rsidRPr="00310300" w:rsidRDefault="001F2CCB" w:rsidP="00745A50">
      <w:pPr>
        <w:pStyle w:val="ListParagraph"/>
        <w:numPr>
          <w:ilvl w:val="0"/>
          <w:numId w:val="7"/>
        </w:numPr>
        <w:spacing w:before="100" w:beforeAutospacing="1" w:after="100" w:afterAutospacing="1"/>
        <w:rPr>
          <w:rFonts w:eastAsia="Times New Roman" w:cstheme="minorHAnsi"/>
          <w:b/>
          <w:color w:val="4F81BD" w:themeColor="accent1"/>
          <w:sz w:val="24"/>
          <w:szCs w:val="24"/>
          <w:lang w:eastAsia="en-NZ"/>
        </w:rPr>
      </w:pPr>
      <w:r w:rsidRPr="00B045BB">
        <w:rPr>
          <w:rFonts w:eastAsia="Times New Roman" w:cstheme="minorHAnsi"/>
          <w:color w:val="000000"/>
          <w:sz w:val="24"/>
          <w:szCs w:val="24"/>
        </w:rPr>
        <w:t xml:space="preserve"> </w:t>
      </w:r>
      <w:r w:rsidR="00C00629" w:rsidRPr="00B045BB">
        <w:rPr>
          <w:rFonts w:eastAsia="Times New Roman" w:cstheme="minorHAnsi"/>
          <w:color w:val="000000"/>
          <w:sz w:val="24"/>
          <w:szCs w:val="24"/>
        </w:rPr>
        <w:t xml:space="preserve">Also of </w:t>
      </w:r>
      <w:r w:rsidR="00EC1224" w:rsidRPr="00B045BB">
        <w:rPr>
          <w:rFonts w:eastAsia="Times New Roman" w:cstheme="minorHAnsi"/>
          <w:color w:val="000000"/>
          <w:sz w:val="24"/>
          <w:szCs w:val="24"/>
        </w:rPr>
        <w:t xml:space="preserve">serious </w:t>
      </w:r>
      <w:r w:rsidR="00FD576E" w:rsidRPr="00B045BB">
        <w:rPr>
          <w:rFonts w:eastAsia="Times New Roman" w:cstheme="minorHAnsi"/>
          <w:color w:val="000000"/>
          <w:sz w:val="24"/>
          <w:szCs w:val="24"/>
        </w:rPr>
        <w:t xml:space="preserve">concern </w:t>
      </w:r>
      <w:r w:rsidR="00932563" w:rsidRPr="00B045BB">
        <w:rPr>
          <w:rFonts w:eastAsia="Times New Roman" w:cstheme="minorHAnsi"/>
          <w:color w:val="000000"/>
          <w:sz w:val="24"/>
          <w:szCs w:val="24"/>
        </w:rPr>
        <w:t xml:space="preserve">is the </w:t>
      </w:r>
      <w:r w:rsidR="00CE4F91" w:rsidRPr="00B045BB">
        <w:rPr>
          <w:rFonts w:eastAsia="Times New Roman" w:cstheme="minorHAnsi"/>
          <w:color w:val="000000"/>
          <w:sz w:val="24"/>
          <w:szCs w:val="24"/>
        </w:rPr>
        <w:t xml:space="preserve">Ministry of Education’s increased investment in residential specialist schools and the </w:t>
      </w:r>
      <w:r w:rsidR="00932563" w:rsidRPr="00B045BB">
        <w:rPr>
          <w:rFonts w:eastAsia="Times New Roman" w:cstheme="minorHAnsi"/>
          <w:color w:val="000000"/>
          <w:sz w:val="24"/>
          <w:szCs w:val="24"/>
        </w:rPr>
        <w:t>proposed change</w:t>
      </w:r>
      <w:r w:rsidR="00CE4F91" w:rsidRPr="00B045BB">
        <w:rPr>
          <w:rFonts w:eastAsia="Times New Roman" w:cstheme="minorHAnsi"/>
          <w:color w:val="000000"/>
          <w:sz w:val="24"/>
          <w:szCs w:val="24"/>
        </w:rPr>
        <w:t>s</w:t>
      </w:r>
      <w:r w:rsidR="008864C6" w:rsidRPr="00B045BB">
        <w:rPr>
          <w:rFonts w:eastAsia="Times New Roman" w:cstheme="minorHAnsi"/>
          <w:color w:val="000000"/>
          <w:sz w:val="24"/>
          <w:szCs w:val="24"/>
        </w:rPr>
        <w:t xml:space="preserve"> </w:t>
      </w:r>
      <w:r w:rsidR="00EA06B9" w:rsidRPr="00B045BB">
        <w:rPr>
          <w:rFonts w:eastAsia="Times New Roman" w:cstheme="minorHAnsi"/>
          <w:color w:val="000000"/>
          <w:sz w:val="24"/>
          <w:szCs w:val="24"/>
        </w:rPr>
        <w:t xml:space="preserve">currently being considered </w:t>
      </w:r>
      <w:r w:rsidR="008864C6" w:rsidRPr="00B045BB">
        <w:rPr>
          <w:rFonts w:eastAsia="Times New Roman" w:cstheme="minorHAnsi"/>
          <w:color w:val="000000"/>
          <w:sz w:val="24"/>
          <w:szCs w:val="24"/>
        </w:rPr>
        <w:t xml:space="preserve">to the enrolment criteria </w:t>
      </w:r>
      <w:r w:rsidR="00FD576E" w:rsidRPr="00B045BB">
        <w:rPr>
          <w:rFonts w:eastAsia="Times New Roman" w:cstheme="minorHAnsi"/>
          <w:color w:val="000000"/>
          <w:sz w:val="24"/>
          <w:szCs w:val="24"/>
        </w:rPr>
        <w:t xml:space="preserve">and processes to </w:t>
      </w:r>
      <w:r w:rsidR="00CE4F91" w:rsidRPr="00B045BB">
        <w:rPr>
          <w:rFonts w:eastAsia="Times New Roman" w:cstheme="minorHAnsi"/>
          <w:color w:val="000000"/>
          <w:sz w:val="24"/>
          <w:szCs w:val="24"/>
        </w:rPr>
        <w:t xml:space="preserve">facilitate </w:t>
      </w:r>
      <w:r w:rsidR="00FD576E" w:rsidRPr="00B045BB">
        <w:rPr>
          <w:rFonts w:eastAsia="Times New Roman" w:cstheme="minorHAnsi"/>
          <w:color w:val="000000"/>
          <w:sz w:val="24"/>
          <w:szCs w:val="24"/>
        </w:rPr>
        <w:t xml:space="preserve">access </w:t>
      </w:r>
      <w:r w:rsidR="00CE4F91" w:rsidRPr="00B045BB">
        <w:rPr>
          <w:rFonts w:eastAsia="Times New Roman" w:cstheme="minorHAnsi"/>
          <w:color w:val="000000"/>
          <w:sz w:val="24"/>
          <w:szCs w:val="24"/>
        </w:rPr>
        <w:t xml:space="preserve">to </w:t>
      </w:r>
      <w:r w:rsidRPr="00B045BB">
        <w:rPr>
          <w:rFonts w:eastAsia="Times New Roman" w:cstheme="minorHAnsi"/>
          <w:color w:val="000000"/>
          <w:sz w:val="24"/>
          <w:szCs w:val="24"/>
        </w:rPr>
        <w:t>residential specialist school</w:t>
      </w:r>
      <w:r w:rsidR="00615A13" w:rsidRPr="00B045BB">
        <w:rPr>
          <w:rFonts w:eastAsia="Times New Roman" w:cstheme="minorHAnsi"/>
          <w:color w:val="000000"/>
          <w:sz w:val="24"/>
          <w:szCs w:val="24"/>
        </w:rPr>
        <w:t>s</w:t>
      </w:r>
      <w:r w:rsidR="00FD7FF0" w:rsidRPr="00B045BB">
        <w:rPr>
          <w:rFonts w:eastAsia="Times New Roman" w:cstheme="minorHAnsi"/>
          <w:color w:val="000000"/>
          <w:sz w:val="24"/>
          <w:szCs w:val="24"/>
        </w:rPr>
        <w:t xml:space="preserve">. </w:t>
      </w:r>
      <w:r w:rsidR="00615A13" w:rsidRPr="00B045BB">
        <w:rPr>
          <w:rFonts w:eastAsia="Times New Roman" w:cstheme="minorHAnsi"/>
          <w:color w:val="000000"/>
          <w:sz w:val="24"/>
          <w:szCs w:val="24"/>
        </w:rPr>
        <w:t xml:space="preserve"> </w:t>
      </w:r>
      <w:r w:rsidR="00FD7FF0" w:rsidRPr="00B045BB">
        <w:rPr>
          <w:rFonts w:eastAsia="Times New Roman" w:cstheme="minorHAnsi"/>
          <w:color w:val="000000"/>
          <w:sz w:val="24"/>
          <w:szCs w:val="24"/>
        </w:rPr>
        <w:t xml:space="preserve">Any change that has the effect of increasing </w:t>
      </w:r>
      <w:r w:rsidR="00615A13" w:rsidRPr="00B045BB">
        <w:rPr>
          <w:rFonts w:eastAsia="Times New Roman" w:cstheme="minorHAnsi"/>
          <w:color w:val="000000"/>
          <w:sz w:val="24"/>
          <w:szCs w:val="24"/>
        </w:rPr>
        <w:t>enrolments in these segregated settings</w:t>
      </w:r>
      <w:r w:rsidR="00CC5D5D" w:rsidRPr="00B045BB">
        <w:rPr>
          <w:rFonts w:eastAsia="Times New Roman" w:cstheme="minorHAnsi"/>
          <w:color w:val="000000"/>
          <w:sz w:val="24"/>
          <w:szCs w:val="24"/>
        </w:rPr>
        <w:t xml:space="preserve"> </w:t>
      </w:r>
      <w:r w:rsidR="00615A13" w:rsidRPr="00B045BB">
        <w:rPr>
          <w:rFonts w:eastAsia="Times New Roman" w:cstheme="minorHAnsi"/>
          <w:color w:val="000000"/>
          <w:sz w:val="24"/>
          <w:szCs w:val="24"/>
        </w:rPr>
        <w:t>is</w:t>
      </w:r>
      <w:r w:rsidR="00B6614C" w:rsidRPr="00B045BB">
        <w:rPr>
          <w:rFonts w:eastAsia="Times New Roman" w:cstheme="minorHAnsi"/>
          <w:color w:val="000000"/>
          <w:sz w:val="24"/>
          <w:szCs w:val="24"/>
        </w:rPr>
        <w:t>,</w:t>
      </w:r>
      <w:r w:rsidR="00615A13" w:rsidRPr="00B045BB">
        <w:rPr>
          <w:rFonts w:eastAsia="Times New Roman" w:cstheme="minorHAnsi"/>
          <w:color w:val="000000"/>
          <w:sz w:val="24"/>
          <w:szCs w:val="24"/>
        </w:rPr>
        <w:t xml:space="preserve"> in our view</w:t>
      </w:r>
      <w:r w:rsidR="00B6614C" w:rsidRPr="00B045BB">
        <w:rPr>
          <w:rFonts w:eastAsia="Times New Roman" w:cstheme="minorHAnsi"/>
          <w:color w:val="000000"/>
          <w:sz w:val="24"/>
          <w:szCs w:val="24"/>
        </w:rPr>
        <w:t>,</w:t>
      </w:r>
      <w:r w:rsidR="00615A13" w:rsidRPr="00B045BB">
        <w:rPr>
          <w:rFonts w:eastAsia="Times New Roman" w:cstheme="minorHAnsi"/>
          <w:color w:val="000000"/>
          <w:sz w:val="24"/>
          <w:szCs w:val="24"/>
        </w:rPr>
        <w:t xml:space="preserve"> a </w:t>
      </w:r>
      <w:r w:rsidR="00615A13" w:rsidRPr="00B045BB">
        <w:rPr>
          <w:rFonts w:cstheme="minorHAnsi"/>
          <w:sz w:val="24"/>
          <w:szCs w:val="24"/>
        </w:rPr>
        <w:t>retrograde step</w:t>
      </w:r>
      <w:r w:rsidR="0093252E" w:rsidRPr="00B045BB">
        <w:rPr>
          <w:rFonts w:cstheme="minorHAnsi"/>
          <w:sz w:val="24"/>
          <w:szCs w:val="24"/>
        </w:rPr>
        <w:t xml:space="preserve"> and </w:t>
      </w:r>
      <w:r w:rsidR="00615A13" w:rsidRPr="00B045BB">
        <w:rPr>
          <w:rFonts w:cstheme="minorHAnsi"/>
          <w:sz w:val="24"/>
          <w:szCs w:val="24"/>
        </w:rPr>
        <w:t xml:space="preserve">inconsistent with the CRPD.  </w:t>
      </w:r>
      <w:r w:rsidR="00334BF7" w:rsidRPr="00B045BB">
        <w:rPr>
          <w:rFonts w:cstheme="minorHAnsi"/>
          <w:sz w:val="24"/>
          <w:szCs w:val="24"/>
        </w:rPr>
        <w:t xml:space="preserve">Despite </w:t>
      </w:r>
      <w:r w:rsidR="00B6614C" w:rsidRPr="00B045BB">
        <w:rPr>
          <w:rFonts w:cstheme="minorHAnsi"/>
          <w:sz w:val="24"/>
          <w:szCs w:val="24"/>
        </w:rPr>
        <w:t xml:space="preserve">a reduction in </w:t>
      </w:r>
      <w:r w:rsidR="00CE4F91" w:rsidRPr="00B045BB">
        <w:rPr>
          <w:rFonts w:eastAsia="Times New Roman" w:cstheme="minorHAnsi"/>
          <w:color w:val="000000"/>
          <w:sz w:val="24"/>
          <w:szCs w:val="24"/>
        </w:rPr>
        <w:t xml:space="preserve">residential specialist </w:t>
      </w:r>
      <w:r w:rsidR="00B6614C" w:rsidRPr="00B045BB">
        <w:rPr>
          <w:rFonts w:cstheme="minorHAnsi"/>
          <w:sz w:val="24"/>
          <w:szCs w:val="24"/>
        </w:rPr>
        <w:t xml:space="preserve">school </w:t>
      </w:r>
      <w:r w:rsidR="006A50E7" w:rsidRPr="00B045BB">
        <w:rPr>
          <w:rFonts w:cstheme="minorHAnsi"/>
          <w:sz w:val="24"/>
          <w:szCs w:val="24"/>
        </w:rPr>
        <w:t>rolls</w:t>
      </w:r>
      <w:r w:rsidR="00CE4F91" w:rsidRPr="00B045BB">
        <w:rPr>
          <w:rFonts w:cstheme="minorHAnsi"/>
          <w:sz w:val="24"/>
          <w:szCs w:val="24"/>
        </w:rPr>
        <w:t xml:space="preserve"> since 2012</w:t>
      </w:r>
      <w:r w:rsidR="0093252E" w:rsidRPr="00B045BB">
        <w:rPr>
          <w:rFonts w:cstheme="minorHAnsi"/>
          <w:sz w:val="24"/>
          <w:szCs w:val="24"/>
        </w:rPr>
        <w:t>,</w:t>
      </w:r>
      <w:r w:rsidR="006A50E7" w:rsidRPr="00B045BB">
        <w:rPr>
          <w:rFonts w:cstheme="minorHAnsi"/>
          <w:sz w:val="24"/>
          <w:szCs w:val="24"/>
        </w:rPr>
        <w:t xml:space="preserve"> significant</w:t>
      </w:r>
      <w:r w:rsidR="00EC1224" w:rsidRPr="00B045BB">
        <w:rPr>
          <w:rFonts w:cstheme="minorHAnsi"/>
          <w:sz w:val="24"/>
          <w:szCs w:val="24"/>
        </w:rPr>
        <w:t xml:space="preserve"> funding continues to be allocated </w:t>
      </w:r>
      <w:r w:rsidR="00B02776" w:rsidRPr="00B045BB">
        <w:rPr>
          <w:rFonts w:cstheme="minorHAnsi"/>
          <w:sz w:val="24"/>
          <w:szCs w:val="24"/>
        </w:rPr>
        <w:t xml:space="preserve">for residential specialist </w:t>
      </w:r>
      <w:r w:rsidR="006A50E7" w:rsidRPr="00B045BB">
        <w:rPr>
          <w:rFonts w:cstheme="minorHAnsi"/>
          <w:sz w:val="24"/>
          <w:szCs w:val="24"/>
        </w:rPr>
        <w:t>schools along</w:t>
      </w:r>
      <w:r w:rsidR="000F1D48" w:rsidRPr="00B045BB">
        <w:rPr>
          <w:rFonts w:cstheme="minorHAnsi"/>
          <w:sz w:val="24"/>
          <w:szCs w:val="24"/>
        </w:rPr>
        <w:t xml:space="preserve"> with plans for expa</w:t>
      </w:r>
      <w:r w:rsidR="00B02776" w:rsidRPr="00B045BB">
        <w:rPr>
          <w:rFonts w:cstheme="minorHAnsi"/>
          <w:sz w:val="24"/>
          <w:szCs w:val="24"/>
        </w:rPr>
        <w:t>nsion of their role and purpose.</w:t>
      </w:r>
      <w:r w:rsidR="000F1D48" w:rsidRPr="00B045BB">
        <w:rPr>
          <w:rFonts w:cstheme="minorHAnsi"/>
          <w:sz w:val="24"/>
          <w:szCs w:val="24"/>
        </w:rPr>
        <w:t xml:space="preserve"> </w:t>
      </w:r>
      <w:r w:rsidR="00B02776" w:rsidRPr="00B045BB">
        <w:rPr>
          <w:rFonts w:cstheme="minorHAnsi"/>
          <w:sz w:val="24"/>
          <w:szCs w:val="24"/>
        </w:rPr>
        <w:t xml:space="preserve"> </w:t>
      </w:r>
      <w:r w:rsidR="00B6614C" w:rsidRPr="00B045BB">
        <w:rPr>
          <w:rFonts w:cstheme="minorHAnsi"/>
          <w:sz w:val="24"/>
          <w:szCs w:val="24"/>
        </w:rPr>
        <w:t>I</w:t>
      </w:r>
      <w:r w:rsidR="00B02776" w:rsidRPr="00B045BB">
        <w:rPr>
          <w:rFonts w:cstheme="minorHAnsi"/>
          <w:sz w:val="24"/>
          <w:szCs w:val="24"/>
        </w:rPr>
        <w:t xml:space="preserve">nformation recently released under </w:t>
      </w:r>
      <w:r w:rsidR="00B6614C" w:rsidRPr="00B045BB">
        <w:rPr>
          <w:rFonts w:cstheme="minorHAnsi"/>
          <w:sz w:val="24"/>
          <w:szCs w:val="24"/>
        </w:rPr>
        <w:t xml:space="preserve">the Official Information Act </w:t>
      </w:r>
      <w:r w:rsidR="0093252E" w:rsidRPr="00B045BB">
        <w:rPr>
          <w:rFonts w:cstheme="minorHAnsi"/>
          <w:sz w:val="24"/>
          <w:szCs w:val="24"/>
        </w:rPr>
        <w:t xml:space="preserve">(NZ) </w:t>
      </w:r>
      <w:r w:rsidR="00B02776" w:rsidRPr="00B045BB">
        <w:rPr>
          <w:rFonts w:cstheme="minorHAnsi"/>
          <w:sz w:val="24"/>
          <w:szCs w:val="24"/>
        </w:rPr>
        <w:t>reve</w:t>
      </w:r>
      <w:r w:rsidR="00B6614C" w:rsidRPr="00B045BB">
        <w:rPr>
          <w:rFonts w:cstheme="minorHAnsi"/>
          <w:sz w:val="24"/>
          <w:szCs w:val="24"/>
        </w:rPr>
        <w:t>a</w:t>
      </w:r>
      <w:r w:rsidR="00B02776" w:rsidRPr="00B045BB">
        <w:rPr>
          <w:rFonts w:cstheme="minorHAnsi"/>
          <w:sz w:val="24"/>
          <w:szCs w:val="24"/>
        </w:rPr>
        <w:t xml:space="preserve">ls that </w:t>
      </w:r>
      <w:r w:rsidR="00EC1224" w:rsidRPr="00B045BB">
        <w:rPr>
          <w:rFonts w:cstheme="minorHAnsi"/>
          <w:sz w:val="24"/>
          <w:szCs w:val="24"/>
        </w:rPr>
        <w:t xml:space="preserve">over $9 million </w:t>
      </w:r>
      <w:r w:rsidR="00B02776" w:rsidRPr="00B045BB">
        <w:rPr>
          <w:rFonts w:cstheme="minorHAnsi"/>
          <w:sz w:val="24"/>
          <w:szCs w:val="24"/>
        </w:rPr>
        <w:t xml:space="preserve">was allocated </w:t>
      </w:r>
      <w:r w:rsidR="00EC1224" w:rsidRPr="00B045BB">
        <w:rPr>
          <w:rFonts w:cstheme="minorHAnsi"/>
          <w:sz w:val="24"/>
          <w:szCs w:val="24"/>
        </w:rPr>
        <w:t>in 2022 to provide residential se</w:t>
      </w:r>
      <w:r w:rsidR="00334BF7" w:rsidRPr="00B045BB">
        <w:rPr>
          <w:rFonts w:cstheme="minorHAnsi"/>
          <w:sz w:val="24"/>
          <w:szCs w:val="24"/>
        </w:rPr>
        <w:t>rvices ac</w:t>
      </w:r>
      <w:r w:rsidR="00B6614C" w:rsidRPr="00B045BB">
        <w:rPr>
          <w:rFonts w:cstheme="minorHAnsi"/>
          <w:sz w:val="24"/>
          <w:szCs w:val="24"/>
        </w:rPr>
        <w:t xml:space="preserve">ross </w:t>
      </w:r>
      <w:r w:rsidR="00B02776" w:rsidRPr="00B045BB">
        <w:rPr>
          <w:rFonts w:cstheme="minorHAnsi"/>
          <w:sz w:val="24"/>
          <w:szCs w:val="24"/>
        </w:rPr>
        <w:t xml:space="preserve">three schools for </w:t>
      </w:r>
      <w:r w:rsidR="00334BF7" w:rsidRPr="00B045BB">
        <w:rPr>
          <w:rFonts w:cstheme="minorHAnsi"/>
          <w:sz w:val="24"/>
          <w:szCs w:val="24"/>
        </w:rPr>
        <w:t>17 students.</w:t>
      </w:r>
      <w:r w:rsidR="003F4743">
        <w:rPr>
          <w:rStyle w:val="FootnoteReference"/>
          <w:rFonts w:cstheme="minorHAnsi"/>
          <w:sz w:val="24"/>
          <w:szCs w:val="24"/>
        </w:rPr>
        <w:footnoteReference w:id="11"/>
      </w:r>
      <w:r w:rsidR="00334BF7" w:rsidRPr="00B045BB">
        <w:rPr>
          <w:rFonts w:cstheme="minorHAnsi"/>
          <w:sz w:val="24"/>
          <w:szCs w:val="24"/>
        </w:rPr>
        <w:t xml:space="preserve"> </w:t>
      </w:r>
      <w:r w:rsidR="00B2169D" w:rsidRPr="00B045BB">
        <w:rPr>
          <w:rFonts w:cstheme="minorHAnsi"/>
          <w:sz w:val="24"/>
          <w:szCs w:val="24"/>
        </w:rPr>
        <w:t xml:space="preserve"> </w:t>
      </w:r>
      <w:r w:rsidR="00B02776" w:rsidRPr="00B045BB">
        <w:rPr>
          <w:rFonts w:cstheme="minorHAnsi"/>
          <w:sz w:val="24"/>
          <w:szCs w:val="24"/>
        </w:rPr>
        <w:t xml:space="preserve">It is noted that these schools are funded for a </w:t>
      </w:r>
      <w:r w:rsidR="00B6614C" w:rsidRPr="00B045BB">
        <w:rPr>
          <w:rFonts w:cstheme="minorHAnsi"/>
          <w:sz w:val="24"/>
          <w:szCs w:val="24"/>
        </w:rPr>
        <w:t xml:space="preserve">combined </w:t>
      </w:r>
      <w:r w:rsidR="00B02776" w:rsidRPr="00B045BB">
        <w:rPr>
          <w:rFonts w:cstheme="minorHAnsi"/>
          <w:sz w:val="24"/>
          <w:szCs w:val="24"/>
        </w:rPr>
        <w:t xml:space="preserve">notional roll of 84. The </w:t>
      </w:r>
      <w:r w:rsidR="006A50E7" w:rsidRPr="00B045BB">
        <w:rPr>
          <w:rFonts w:cstheme="minorHAnsi"/>
          <w:sz w:val="24"/>
          <w:szCs w:val="24"/>
        </w:rPr>
        <w:t>schools</w:t>
      </w:r>
      <w:r w:rsidR="00B02776" w:rsidRPr="00B045BB">
        <w:rPr>
          <w:rFonts w:cstheme="minorHAnsi"/>
          <w:sz w:val="24"/>
          <w:szCs w:val="24"/>
        </w:rPr>
        <w:t xml:space="preserve"> rec</w:t>
      </w:r>
      <w:r w:rsidR="00B6614C" w:rsidRPr="00B045BB">
        <w:rPr>
          <w:rFonts w:cstheme="minorHAnsi"/>
          <w:sz w:val="24"/>
          <w:szCs w:val="24"/>
        </w:rPr>
        <w:t>e</w:t>
      </w:r>
      <w:r w:rsidR="00B02776" w:rsidRPr="00B045BB">
        <w:rPr>
          <w:rFonts w:cstheme="minorHAnsi"/>
          <w:sz w:val="24"/>
          <w:szCs w:val="24"/>
        </w:rPr>
        <w:t>ive add</w:t>
      </w:r>
      <w:r w:rsidR="00B6614C" w:rsidRPr="00B045BB">
        <w:rPr>
          <w:rFonts w:cstheme="minorHAnsi"/>
          <w:sz w:val="24"/>
          <w:szCs w:val="24"/>
        </w:rPr>
        <w:t>itional funding for staffing and operationa</w:t>
      </w:r>
      <w:r w:rsidR="00B02776" w:rsidRPr="00B045BB">
        <w:rPr>
          <w:rFonts w:cstheme="minorHAnsi"/>
          <w:sz w:val="24"/>
          <w:szCs w:val="24"/>
        </w:rPr>
        <w:t xml:space="preserve">l </w:t>
      </w:r>
      <w:r w:rsidR="00B6614C" w:rsidRPr="00B045BB">
        <w:rPr>
          <w:rFonts w:cstheme="minorHAnsi"/>
          <w:sz w:val="24"/>
          <w:szCs w:val="24"/>
        </w:rPr>
        <w:t>costs based on the notional roll</w:t>
      </w:r>
      <w:r w:rsidR="00B02776" w:rsidRPr="00B045BB">
        <w:rPr>
          <w:rFonts w:cstheme="minorHAnsi"/>
          <w:sz w:val="24"/>
          <w:szCs w:val="24"/>
        </w:rPr>
        <w:t xml:space="preserve"> of 84 students. </w:t>
      </w:r>
    </w:p>
    <w:p w14:paraId="75CA7B2D" w14:textId="77777777" w:rsidR="00745A50" w:rsidRPr="00B045BB" w:rsidRDefault="00FD7FF0" w:rsidP="00745A50">
      <w:pPr>
        <w:spacing w:before="100" w:beforeAutospacing="1" w:after="100" w:afterAutospacing="1"/>
        <w:rPr>
          <w:rFonts w:asciiTheme="minorHAnsi" w:eastAsia="Times New Roman" w:hAnsiTheme="minorHAnsi" w:cstheme="minorHAnsi"/>
          <w:b/>
          <w:color w:val="4F81BD" w:themeColor="accent1"/>
          <w:sz w:val="24"/>
          <w:szCs w:val="24"/>
          <w:lang w:eastAsia="en-NZ"/>
        </w:rPr>
      </w:pPr>
      <w:r w:rsidRPr="00B045BB">
        <w:rPr>
          <w:rFonts w:asciiTheme="minorHAnsi" w:eastAsia="Times New Roman" w:hAnsiTheme="minorHAnsi" w:cstheme="minorHAnsi"/>
          <w:b/>
          <w:color w:val="4F81BD" w:themeColor="accent1"/>
          <w:sz w:val="24"/>
          <w:szCs w:val="24"/>
          <w:lang w:eastAsia="en-NZ"/>
        </w:rPr>
        <w:t>Denial of Reasonable Accommodation</w:t>
      </w:r>
    </w:p>
    <w:p w14:paraId="73E453FF" w14:textId="673C0DC4" w:rsidR="00615A13" w:rsidRPr="00B045BB" w:rsidRDefault="00E74D82" w:rsidP="00745A50">
      <w:pPr>
        <w:pStyle w:val="ListParagraph"/>
        <w:numPr>
          <w:ilvl w:val="0"/>
          <w:numId w:val="7"/>
        </w:numPr>
        <w:spacing w:before="100" w:beforeAutospacing="1" w:after="100" w:afterAutospacing="1"/>
        <w:rPr>
          <w:rFonts w:eastAsia="Times New Roman" w:cstheme="minorHAnsi"/>
          <w:b/>
          <w:color w:val="4F81BD" w:themeColor="accent1"/>
          <w:sz w:val="24"/>
          <w:szCs w:val="24"/>
          <w:lang w:eastAsia="en-NZ"/>
        </w:rPr>
      </w:pPr>
      <w:r w:rsidRPr="00B045BB">
        <w:rPr>
          <w:rFonts w:eastAsia="Times New Roman" w:cstheme="minorHAnsi"/>
          <w:color w:val="000000"/>
          <w:sz w:val="24"/>
          <w:szCs w:val="24"/>
        </w:rPr>
        <w:t>T</w:t>
      </w:r>
      <w:r w:rsidR="00745A50" w:rsidRPr="00B045BB">
        <w:rPr>
          <w:rFonts w:eastAsia="Times New Roman" w:cstheme="minorHAnsi"/>
          <w:color w:val="000000"/>
          <w:sz w:val="24"/>
          <w:szCs w:val="24"/>
        </w:rPr>
        <w:t xml:space="preserve">he Committee may be interested to note that </w:t>
      </w:r>
      <w:r w:rsidRPr="00B045BB">
        <w:rPr>
          <w:rFonts w:eastAsia="Times New Roman" w:cstheme="minorHAnsi"/>
          <w:color w:val="000000"/>
          <w:sz w:val="24"/>
          <w:szCs w:val="24"/>
        </w:rPr>
        <w:t>a</w:t>
      </w:r>
      <w:r w:rsidR="00F90AB6" w:rsidRPr="00B045BB">
        <w:rPr>
          <w:rFonts w:eastAsia="Times New Roman" w:cstheme="minorHAnsi"/>
          <w:color w:val="000000"/>
          <w:sz w:val="24"/>
          <w:szCs w:val="24"/>
        </w:rPr>
        <w:t xml:space="preserve">longside </w:t>
      </w:r>
      <w:r w:rsidRPr="00B045BB">
        <w:rPr>
          <w:rFonts w:eastAsia="Times New Roman" w:cstheme="minorHAnsi"/>
          <w:color w:val="000000"/>
          <w:sz w:val="24"/>
          <w:szCs w:val="24"/>
        </w:rPr>
        <w:t>a growing investment</w:t>
      </w:r>
      <w:r w:rsidR="00F90AB6" w:rsidRPr="00B045BB">
        <w:rPr>
          <w:rFonts w:eastAsia="Times New Roman" w:cstheme="minorHAnsi"/>
          <w:color w:val="000000"/>
          <w:sz w:val="24"/>
          <w:szCs w:val="24"/>
        </w:rPr>
        <w:t xml:space="preserve"> in segregated education setting</w:t>
      </w:r>
      <w:r w:rsidR="00B02776" w:rsidRPr="00B045BB">
        <w:rPr>
          <w:rFonts w:eastAsia="Times New Roman" w:cstheme="minorHAnsi"/>
          <w:color w:val="000000"/>
          <w:sz w:val="24"/>
          <w:szCs w:val="24"/>
        </w:rPr>
        <w:t>s</w:t>
      </w:r>
      <w:r w:rsidR="0093252E" w:rsidRPr="00B045BB">
        <w:rPr>
          <w:rFonts w:eastAsia="Times New Roman" w:cstheme="minorHAnsi"/>
          <w:color w:val="000000"/>
          <w:sz w:val="24"/>
          <w:szCs w:val="24"/>
        </w:rPr>
        <w:t>,</w:t>
      </w:r>
      <w:r w:rsidR="00F90AB6" w:rsidRPr="00B045BB">
        <w:rPr>
          <w:rFonts w:eastAsia="Times New Roman" w:cstheme="minorHAnsi"/>
          <w:color w:val="000000"/>
          <w:sz w:val="24"/>
          <w:szCs w:val="24"/>
        </w:rPr>
        <w:t xml:space="preserve"> </w:t>
      </w:r>
      <w:r w:rsidRPr="00B045BB">
        <w:rPr>
          <w:rFonts w:eastAsia="Times New Roman" w:cstheme="minorHAnsi"/>
          <w:color w:val="000000"/>
          <w:sz w:val="24"/>
          <w:szCs w:val="24"/>
        </w:rPr>
        <w:t xml:space="preserve">disabled students who attend their local school experience significant </w:t>
      </w:r>
      <w:r w:rsidR="006A50E7" w:rsidRPr="00B045BB">
        <w:rPr>
          <w:rFonts w:eastAsia="Times New Roman" w:cstheme="minorHAnsi"/>
          <w:color w:val="000000"/>
          <w:sz w:val="24"/>
          <w:szCs w:val="24"/>
        </w:rPr>
        <w:t>difficulties in</w:t>
      </w:r>
      <w:r w:rsidR="00F90AB6" w:rsidRPr="00B045BB">
        <w:rPr>
          <w:rFonts w:eastAsia="Times New Roman" w:cstheme="minorHAnsi"/>
          <w:color w:val="000000"/>
          <w:sz w:val="24"/>
          <w:szCs w:val="24"/>
        </w:rPr>
        <w:t xml:space="preserve"> </w:t>
      </w:r>
      <w:r w:rsidR="00B6614C" w:rsidRPr="00B045BB">
        <w:rPr>
          <w:rFonts w:eastAsia="Times New Roman" w:cstheme="minorHAnsi"/>
          <w:color w:val="000000"/>
          <w:sz w:val="24"/>
          <w:szCs w:val="24"/>
        </w:rPr>
        <w:t xml:space="preserve">obtaining the individualised supports and </w:t>
      </w:r>
      <w:r w:rsidRPr="00B045BB">
        <w:rPr>
          <w:rFonts w:eastAsia="Times New Roman" w:cstheme="minorHAnsi"/>
          <w:color w:val="000000"/>
          <w:sz w:val="24"/>
          <w:szCs w:val="24"/>
        </w:rPr>
        <w:t xml:space="preserve">reasonable accommodations they require to </w:t>
      </w:r>
      <w:r w:rsidR="00F90AB6" w:rsidRPr="00B045BB">
        <w:rPr>
          <w:rFonts w:eastAsia="Times New Roman" w:cstheme="minorHAnsi"/>
          <w:color w:val="000000"/>
          <w:sz w:val="24"/>
          <w:szCs w:val="24"/>
        </w:rPr>
        <w:t xml:space="preserve">learn, belong and participate in school life. </w:t>
      </w:r>
      <w:r w:rsidR="006A50E7" w:rsidRPr="00B045BB">
        <w:rPr>
          <w:rFonts w:cstheme="minorHAnsi"/>
          <w:sz w:val="24"/>
          <w:szCs w:val="24"/>
        </w:rPr>
        <w:t>The current</w:t>
      </w:r>
      <w:r w:rsidR="00F90AB6" w:rsidRPr="00B045BB">
        <w:rPr>
          <w:rFonts w:cstheme="minorHAnsi"/>
          <w:sz w:val="24"/>
          <w:szCs w:val="24"/>
        </w:rPr>
        <w:t xml:space="preserve"> resourcing and policy </w:t>
      </w:r>
      <w:r w:rsidR="006A50E7" w:rsidRPr="00B045BB">
        <w:rPr>
          <w:rFonts w:cstheme="minorHAnsi"/>
          <w:sz w:val="24"/>
          <w:szCs w:val="24"/>
        </w:rPr>
        <w:t>framework appears</w:t>
      </w:r>
      <w:r w:rsidR="00F90AB6" w:rsidRPr="00B045BB">
        <w:rPr>
          <w:rFonts w:cstheme="minorHAnsi"/>
          <w:sz w:val="24"/>
          <w:szCs w:val="24"/>
        </w:rPr>
        <w:t xml:space="preserve"> to advantage students in </w:t>
      </w:r>
      <w:r w:rsidR="00CE4F91" w:rsidRPr="00B045BB">
        <w:rPr>
          <w:rFonts w:cstheme="minorHAnsi"/>
          <w:sz w:val="24"/>
          <w:szCs w:val="24"/>
        </w:rPr>
        <w:t>segregated ‘</w:t>
      </w:r>
      <w:r w:rsidR="00F90AB6" w:rsidRPr="00B045BB">
        <w:rPr>
          <w:rFonts w:cstheme="minorHAnsi"/>
          <w:sz w:val="24"/>
          <w:szCs w:val="24"/>
        </w:rPr>
        <w:t>specialist</w:t>
      </w:r>
      <w:r w:rsidR="00CE4F91" w:rsidRPr="00B045BB">
        <w:rPr>
          <w:rFonts w:cstheme="minorHAnsi"/>
          <w:sz w:val="24"/>
          <w:szCs w:val="24"/>
        </w:rPr>
        <w:t>’</w:t>
      </w:r>
      <w:r w:rsidR="00F90AB6" w:rsidRPr="00B045BB">
        <w:rPr>
          <w:rFonts w:cstheme="minorHAnsi"/>
          <w:sz w:val="24"/>
          <w:szCs w:val="24"/>
        </w:rPr>
        <w:t xml:space="preserve"> settings and disadvantage those </w:t>
      </w:r>
      <w:r w:rsidR="00CE4F91" w:rsidRPr="00B045BB">
        <w:rPr>
          <w:rFonts w:cstheme="minorHAnsi"/>
          <w:sz w:val="24"/>
          <w:szCs w:val="24"/>
        </w:rPr>
        <w:t xml:space="preserve">attending their </w:t>
      </w:r>
      <w:r w:rsidR="006A50E7" w:rsidRPr="00B045BB">
        <w:rPr>
          <w:rFonts w:cstheme="minorHAnsi"/>
          <w:sz w:val="24"/>
          <w:szCs w:val="24"/>
        </w:rPr>
        <w:t>local mainstream</w:t>
      </w:r>
      <w:r w:rsidR="00F90AB6" w:rsidRPr="00B045BB">
        <w:rPr>
          <w:rFonts w:cstheme="minorHAnsi"/>
          <w:sz w:val="24"/>
          <w:szCs w:val="24"/>
        </w:rPr>
        <w:t xml:space="preserve"> schools</w:t>
      </w:r>
      <w:r w:rsidR="00FC6300" w:rsidRPr="00B045BB">
        <w:rPr>
          <w:rFonts w:cstheme="minorHAnsi"/>
          <w:sz w:val="24"/>
          <w:szCs w:val="24"/>
        </w:rPr>
        <w:t xml:space="preserve"> despite the policy intent </w:t>
      </w:r>
      <w:r w:rsidR="00B6614C" w:rsidRPr="00B045BB">
        <w:rPr>
          <w:rFonts w:cstheme="minorHAnsi"/>
          <w:sz w:val="24"/>
          <w:szCs w:val="24"/>
        </w:rPr>
        <w:t xml:space="preserve">being </w:t>
      </w:r>
      <w:r w:rsidR="00FC6300" w:rsidRPr="00B045BB">
        <w:rPr>
          <w:rFonts w:cstheme="minorHAnsi"/>
          <w:sz w:val="24"/>
          <w:szCs w:val="24"/>
        </w:rPr>
        <w:t xml:space="preserve">to ensure equity across education settings. </w:t>
      </w:r>
      <w:r w:rsidR="00B045BB">
        <w:rPr>
          <w:rFonts w:cstheme="minorHAnsi"/>
          <w:sz w:val="24"/>
          <w:szCs w:val="24"/>
        </w:rPr>
        <w:t>In addition the investment</w:t>
      </w:r>
      <w:r w:rsidR="00AF1E02">
        <w:rPr>
          <w:rFonts w:cstheme="minorHAnsi"/>
          <w:sz w:val="24"/>
          <w:szCs w:val="24"/>
        </w:rPr>
        <w:t>s in segregated settings make no sense economically</w:t>
      </w:r>
      <w:r w:rsidR="00310300">
        <w:rPr>
          <w:rFonts w:cstheme="minorHAnsi"/>
          <w:sz w:val="24"/>
          <w:szCs w:val="24"/>
        </w:rPr>
        <w:t xml:space="preserve"> </w:t>
      </w:r>
      <w:r w:rsidR="00710366">
        <w:rPr>
          <w:rFonts w:cstheme="minorHAnsi"/>
          <w:sz w:val="24"/>
          <w:szCs w:val="24"/>
        </w:rPr>
        <w:t>are not</w:t>
      </w:r>
      <w:r w:rsidR="00310300">
        <w:rPr>
          <w:rFonts w:cstheme="minorHAnsi"/>
          <w:sz w:val="24"/>
          <w:szCs w:val="24"/>
        </w:rPr>
        <w:t xml:space="preserve"> supported</w:t>
      </w:r>
      <w:r w:rsidR="00710366">
        <w:rPr>
          <w:rFonts w:cstheme="minorHAnsi"/>
          <w:sz w:val="24"/>
          <w:szCs w:val="24"/>
        </w:rPr>
        <w:t xml:space="preserve"> </w:t>
      </w:r>
      <w:proofErr w:type="gramStart"/>
      <w:r w:rsidR="00710366">
        <w:rPr>
          <w:rFonts w:cstheme="minorHAnsi"/>
          <w:sz w:val="24"/>
          <w:szCs w:val="24"/>
        </w:rPr>
        <w:t xml:space="preserve">by </w:t>
      </w:r>
      <w:r w:rsidR="00310300">
        <w:rPr>
          <w:rFonts w:cstheme="minorHAnsi"/>
          <w:sz w:val="24"/>
          <w:szCs w:val="24"/>
        </w:rPr>
        <w:t xml:space="preserve"> the</w:t>
      </w:r>
      <w:proofErr w:type="gramEnd"/>
      <w:r w:rsidR="00310300">
        <w:rPr>
          <w:rFonts w:cstheme="minorHAnsi"/>
          <w:sz w:val="24"/>
          <w:szCs w:val="24"/>
        </w:rPr>
        <w:t xml:space="preserve"> research evidence</w:t>
      </w:r>
      <w:r w:rsidR="00AF1E02">
        <w:rPr>
          <w:rFonts w:cstheme="minorHAnsi"/>
          <w:sz w:val="24"/>
          <w:szCs w:val="24"/>
        </w:rPr>
        <w:t xml:space="preserve"> nor do they evidence a rights based approach.  Furthermore an equity approach would consider investments in the greater numbers of disabled </w:t>
      </w:r>
      <w:r w:rsidR="00AF1E02">
        <w:rPr>
          <w:rFonts w:cstheme="minorHAnsi"/>
          <w:sz w:val="24"/>
          <w:szCs w:val="24"/>
        </w:rPr>
        <w:lastRenderedPageBreak/>
        <w:t>students</w:t>
      </w:r>
      <w:r w:rsidR="00310300">
        <w:rPr>
          <w:rFonts w:cstheme="minorHAnsi"/>
          <w:sz w:val="24"/>
          <w:szCs w:val="24"/>
        </w:rPr>
        <w:t xml:space="preserve"> </w:t>
      </w:r>
      <w:proofErr w:type="gramStart"/>
      <w:r w:rsidR="00310300">
        <w:rPr>
          <w:rFonts w:cstheme="minorHAnsi"/>
          <w:sz w:val="24"/>
          <w:szCs w:val="24"/>
        </w:rPr>
        <w:t xml:space="preserve">in </w:t>
      </w:r>
      <w:r w:rsidR="00AF1E02">
        <w:rPr>
          <w:rFonts w:cstheme="minorHAnsi"/>
          <w:sz w:val="24"/>
          <w:szCs w:val="24"/>
        </w:rPr>
        <w:t xml:space="preserve"> mainstre</w:t>
      </w:r>
      <w:r w:rsidR="00710366">
        <w:rPr>
          <w:rFonts w:cstheme="minorHAnsi"/>
          <w:sz w:val="24"/>
          <w:szCs w:val="24"/>
        </w:rPr>
        <w:t>am</w:t>
      </w:r>
      <w:proofErr w:type="gramEnd"/>
      <w:r w:rsidR="00710366">
        <w:rPr>
          <w:rFonts w:cstheme="minorHAnsi"/>
          <w:sz w:val="24"/>
          <w:szCs w:val="24"/>
        </w:rPr>
        <w:t>/local settings rather than to</w:t>
      </w:r>
      <w:r w:rsidR="00AF1E02">
        <w:rPr>
          <w:rFonts w:cstheme="minorHAnsi"/>
          <w:sz w:val="24"/>
          <w:szCs w:val="24"/>
        </w:rPr>
        <w:t xml:space="preserve"> a relative</w:t>
      </w:r>
      <w:r w:rsidR="00710366">
        <w:rPr>
          <w:rFonts w:cstheme="minorHAnsi"/>
          <w:sz w:val="24"/>
          <w:szCs w:val="24"/>
        </w:rPr>
        <w:t>ly</w:t>
      </w:r>
      <w:r w:rsidR="00AF1E02">
        <w:rPr>
          <w:rFonts w:cstheme="minorHAnsi"/>
          <w:sz w:val="24"/>
          <w:szCs w:val="24"/>
        </w:rPr>
        <w:t xml:space="preserve"> few students in segregated settings.</w:t>
      </w:r>
    </w:p>
    <w:p w14:paraId="19775826" w14:textId="77777777" w:rsidR="008C3652" w:rsidRPr="00B045BB" w:rsidRDefault="008C3652" w:rsidP="008C3652">
      <w:pPr>
        <w:pStyle w:val="ListParagraph"/>
        <w:spacing w:before="100" w:beforeAutospacing="1" w:after="100" w:afterAutospacing="1"/>
        <w:ind w:left="360"/>
        <w:rPr>
          <w:rFonts w:eastAsia="Times New Roman" w:cstheme="minorHAnsi"/>
          <w:b/>
          <w:color w:val="4F81BD" w:themeColor="accent1"/>
          <w:sz w:val="24"/>
          <w:szCs w:val="24"/>
          <w:lang w:eastAsia="en-NZ"/>
        </w:rPr>
      </w:pPr>
    </w:p>
    <w:p w14:paraId="127D5CAF" w14:textId="3744D065" w:rsidR="00663047" w:rsidRPr="00B045BB" w:rsidRDefault="00F90AB6" w:rsidP="008C3652">
      <w:pPr>
        <w:pStyle w:val="ListParagraph"/>
        <w:numPr>
          <w:ilvl w:val="0"/>
          <w:numId w:val="7"/>
        </w:numPr>
        <w:spacing w:before="100" w:beforeAutospacing="1" w:after="100" w:afterAutospacing="1"/>
        <w:rPr>
          <w:rFonts w:eastAsia="Times New Roman" w:cstheme="minorHAnsi"/>
          <w:b/>
          <w:color w:val="4F81BD" w:themeColor="accent1"/>
          <w:sz w:val="24"/>
          <w:szCs w:val="24"/>
          <w:lang w:eastAsia="en-NZ"/>
        </w:rPr>
      </w:pPr>
      <w:r w:rsidRPr="00B045BB">
        <w:rPr>
          <w:rFonts w:cstheme="minorHAnsi"/>
          <w:sz w:val="24"/>
          <w:szCs w:val="24"/>
        </w:rPr>
        <w:t xml:space="preserve"> Barriers to a quality inclusive education have been a</w:t>
      </w:r>
      <w:r w:rsidR="00E74D82" w:rsidRPr="00B045BB">
        <w:rPr>
          <w:rFonts w:cstheme="minorHAnsi"/>
          <w:sz w:val="24"/>
          <w:szCs w:val="24"/>
        </w:rPr>
        <w:t xml:space="preserve"> </w:t>
      </w:r>
      <w:r w:rsidR="00726416" w:rsidRPr="00B045BB">
        <w:rPr>
          <w:rFonts w:cstheme="minorHAnsi"/>
          <w:sz w:val="24"/>
          <w:szCs w:val="24"/>
        </w:rPr>
        <w:t>long-standing</w:t>
      </w:r>
      <w:r w:rsidRPr="00B045BB">
        <w:rPr>
          <w:rFonts w:cstheme="minorHAnsi"/>
          <w:sz w:val="24"/>
          <w:szCs w:val="24"/>
        </w:rPr>
        <w:t xml:space="preserve"> problem for disabled students, their families and schools</w:t>
      </w:r>
      <w:r w:rsidR="00CE4F91" w:rsidRPr="00B045BB">
        <w:rPr>
          <w:rFonts w:cstheme="minorHAnsi"/>
          <w:sz w:val="24"/>
          <w:szCs w:val="24"/>
        </w:rPr>
        <w:t>. T</w:t>
      </w:r>
      <w:r w:rsidR="00B6614C" w:rsidRPr="00B045BB">
        <w:rPr>
          <w:rFonts w:cstheme="minorHAnsi"/>
          <w:sz w:val="24"/>
          <w:szCs w:val="24"/>
        </w:rPr>
        <w:t xml:space="preserve">his is despite a number </w:t>
      </w:r>
      <w:r w:rsidR="006A50E7" w:rsidRPr="00B045BB">
        <w:rPr>
          <w:rFonts w:cstheme="minorHAnsi"/>
          <w:sz w:val="24"/>
          <w:szCs w:val="24"/>
        </w:rPr>
        <w:t>of reviews</w:t>
      </w:r>
      <w:r w:rsidR="00B6614C" w:rsidRPr="00B045BB">
        <w:rPr>
          <w:rFonts w:cstheme="minorHAnsi"/>
          <w:sz w:val="24"/>
          <w:szCs w:val="24"/>
        </w:rPr>
        <w:t xml:space="preserve">, </w:t>
      </w:r>
      <w:r w:rsidR="006A50E7" w:rsidRPr="00B045BB">
        <w:rPr>
          <w:rFonts w:cstheme="minorHAnsi"/>
          <w:sz w:val="24"/>
          <w:szCs w:val="24"/>
        </w:rPr>
        <w:t>policy shifts</w:t>
      </w:r>
      <w:r w:rsidR="00B6614C" w:rsidRPr="00B045BB">
        <w:rPr>
          <w:rFonts w:cstheme="minorHAnsi"/>
          <w:sz w:val="24"/>
          <w:szCs w:val="24"/>
        </w:rPr>
        <w:t>, and the introduction of a new Learning Support Action Plan and Learning Support Delivery M</w:t>
      </w:r>
      <w:r w:rsidR="00FC6300" w:rsidRPr="00B045BB">
        <w:rPr>
          <w:rFonts w:cstheme="minorHAnsi"/>
          <w:sz w:val="24"/>
          <w:szCs w:val="24"/>
        </w:rPr>
        <w:t>odel</w:t>
      </w:r>
      <w:r w:rsidRPr="00B045BB">
        <w:rPr>
          <w:rFonts w:cstheme="minorHAnsi"/>
          <w:sz w:val="24"/>
          <w:szCs w:val="24"/>
        </w:rPr>
        <w:t>.</w:t>
      </w:r>
      <w:r w:rsidR="00FC6300" w:rsidRPr="00B045BB">
        <w:rPr>
          <w:rFonts w:cstheme="minorHAnsi"/>
          <w:sz w:val="24"/>
          <w:szCs w:val="24"/>
        </w:rPr>
        <w:t xml:space="preserve"> </w:t>
      </w:r>
      <w:r w:rsidR="0093252E" w:rsidRPr="00B045BB">
        <w:rPr>
          <w:rFonts w:cstheme="minorHAnsi"/>
          <w:sz w:val="24"/>
          <w:szCs w:val="24"/>
        </w:rPr>
        <w:t>An overwhelming majority of r</w:t>
      </w:r>
      <w:r w:rsidR="00FC6300" w:rsidRPr="00B045BB">
        <w:rPr>
          <w:rFonts w:cstheme="minorHAnsi"/>
          <w:sz w:val="24"/>
          <w:szCs w:val="24"/>
        </w:rPr>
        <w:t>espondent</w:t>
      </w:r>
      <w:r w:rsidR="0093252E" w:rsidRPr="00B045BB">
        <w:rPr>
          <w:rFonts w:cstheme="minorHAnsi"/>
          <w:sz w:val="24"/>
          <w:szCs w:val="24"/>
        </w:rPr>
        <w:t>s</w:t>
      </w:r>
      <w:r w:rsidR="00FC6300" w:rsidRPr="00B045BB">
        <w:rPr>
          <w:rFonts w:cstheme="minorHAnsi"/>
          <w:sz w:val="24"/>
          <w:szCs w:val="24"/>
        </w:rPr>
        <w:t xml:space="preserve"> to the </w:t>
      </w:r>
      <w:r w:rsidR="00B6614C" w:rsidRPr="00B045BB">
        <w:rPr>
          <w:rFonts w:cstheme="minorHAnsi"/>
          <w:sz w:val="24"/>
          <w:szCs w:val="24"/>
        </w:rPr>
        <w:t xml:space="preserve">IHC </w:t>
      </w:r>
      <w:r w:rsidR="00FC6300" w:rsidRPr="00B045BB">
        <w:rPr>
          <w:rFonts w:cstheme="minorHAnsi"/>
          <w:sz w:val="24"/>
          <w:szCs w:val="24"/>
        </w:rPr>
        <w:t>2022 inclusive education surv</w:t>
      </w:r>
      <w:r w:rsidR="0093252E" w:rsidRPr="00B045BB">
        <w:rPr>
          <w:rFonts w:cstheme="minorHAnsi"/>
          <w:sz w:val="24"/>
          <w:szCs w:val="24"/>
        </w:rPr>
        <w:t xml:space="preserve">ey lacked confidence that the </w:t>
      </w:r>
      <w:r w:rsidR="00FC6300" w:rsidRPr="00B045BB">
        <w:rPr>
          <w:rFonts w:cstheme="minorHAnsi"/>
          <w:sz w:val="24"/>
          <w:szCs w:val="24"/>
        </w:rPr>
        <w:t xml:space="preserve">latest </w:t>
      </w:r>
      <w:r w:rsidR="006A50E7" w:rsidRPr="00B045BB">
        <w:rPr>
          <w:rFonts w:cstheme="minorHAnsi"/>
          <w:sz w:val="24"/>
          <w:szCs w:val="24"/>
        </w:rPr>
        <w:t>review of interventions</w:t>
      </w:r>
      <w:r w:rsidR="00FC6300" w:rsidRPr="00B045BB">
        <w:rPr>
          <w:rFonts w:cstheme="minorHAnsi"/>
          <w:sz w:val="24"/>
          <w:szCs w:val="24"/>
        </w:rPr>
        <w:t xml:space="preserve"> for students with highest level of support needs would solve the problems </w:t>
      </w:r>
      <w:r w:rsidR="0093252E" w:rsidRPr="00B045BB">
        <w:rPr>
          <w:rFonts w:cstheme="minorHAnsi"/>
          <w:sz w:val="24"/>
          <w:szCs w:val="24"/>
        </w:rPr>
        <w:t xml:space="preserve">that impact </w:t>
      </w:r>
      <w:r w:rsidR="00FC6300" w:rsidRPr="00B045BB">
        <w:rPr>
          <w:rFonts w:cstheme="minorHAnsi"/>
          <w:sz w:val="24"/>
          <w:szCs w:val="24"/>
        </w:rPr>
        <w:t xml:space="preserve">disabled students at school. </w:t>
      </w:r>
      <w:r w:rsidR="00310300">
        <w:rPr>
          <w:rFonts w:cstheme="minorHAnsi"/>
          <w:sz w:val="24"/>
          <w:szCs w:val="24"/>
        </w:rPr>
        <w:t>Many respondents</w:t>
      </w:r>
      <w:r w:rsidR="00FC6300" w:rsidRPr="00B045BB">
        <w:rPr>
          <w:rFonts w:cstheme="minorHAnsi"/>
          <w:sz w:val="24"/>
          <w:szCs w:val="24"/>
        </w:rPr>
        <w:t xml:space="preserve"> sa</w:t>
      </w:r>
      <w:r w:rsidR="00310300">
        <w:rPr>
          <w:rFonts w:cstheme="minorHAnsi"/>
          <w:sz w:val="24"/>
          <w:szCs w:val="24"/>
        </w:rPr>
        <w:t xml:space="preserve">id </w:t>
      </w:r>
      <w:r w:rsidR="00FC6300" w:rsidRPr="00B045BB">
        <w:rPr>
          <w:rFonts w:cstheme="minorHAnsi"/>
          <w:sz w:val="24"/>
          <w:szCs w:val="24"/>
        </w:rPr>
        <w:t>at best</w:t>
      </w:r>
      <w:r w:rsidR="0093252E" w:rsidRPr="00B045BB">
        <w:rPr>
          <w:rFonts w:cstheme="minorHAnsi"/>
          <w:sz w:val="24"/>
          <w:szCs w:val="24"/>
        </w:rPr>
        <w:t>,</w:t>
      </w:r>
      <w:r w:rsidR="00FC6300" w:rsidRPr="00B045BB">
        <w:rPr>
          <w:rFonts w:cstheme="minorHAnsi"/>
          <w:sz w:val="24"/>
          <w:szCs w:val="24"/>
        </w:rPr>
        <w:t xml:space="preserve"> the review would be a tweak to a broken system. </w:t>
      </w:r>
    </w:p>
    <w:p w14:paraId="6E5965DC" w14:textId="77777777" w:rsidR="00663047" w:rsidRPr="00B045BB" w:rsidRDefault="00663047" w:rsidP="00663047">
      <w:pPr>
        <w:pStyle w:val="ListParagraph"/>
        <w:rPr>
          <w:rFonts w:cstheme="minorHAnsi"/>
          <w:sz w:val="24"/>
          <w:szCs w:val="24"/>
        </w:rPr>
      </w:pPr>
    </w:p>
    <w:p w14:paraId="76A5A347" w14:textId="2D1BD50E" w:rsidR="007E794C" w:rsidRPr="00B045BB" w:rsidRDefault="00F90AB6" w:rsidP="007E794C">
      <w:pPr>
        <w:pStyle w:val="ListParagraph"/>
        <w:numPr>
          <w:ilvl w:val="0"/>
          <w:numId w:val="7"/>
        </w:numPr>
        <w:spacing w:before="100" w:beforeAutospacing="1" w:after="100" w:afterAutospacing="1"/>
        <w:rPr>
          <w:rFonts w:eastAsia="Times New Roman" w:cstheme="minorHAnsi"/>
          <w:b/>
          <w:color w:val="4F81BD" w:themeColor="accent1"/>
          <w:sz w:val="24"/>
          <w:szCs w:val="24"/>
          <w:lang w:eastAsia="en-NZ"/>
        </w:rPr>
      </w:pPr>
      <w:r w:rsidRPr="00B045BB">
        <w:rPr>
          <w:rFonts w:cstheme="minorHAnsi"/>
          <w:sz w:val="24"/>
          <w:szCs w:val="24"/>
        </w:rPr>
        <w:t xml:space="preserve"> </w:t>
      </w:r>
      <w:r w:rsidR="00FE25F9" w:rsidRPr="00B045BB">
        <w:rPr>
          <w:rFonts w:cstheme="minorHAnsi"/>
          <w:sz w:val="24"/>
          <w:szCs w:val="24"/>
        </w:rPr>
        <w:t>IHC</w:t>
      </w:r>
      <w:r w:rsidR="005139BC" w:rsidRPr="00B045BB">
        <w:rPr>
          <w:rFonts w:cstheme="minorHAnsi"/>
          <w:sz w:val="24"/>
          <w:szCs w:val="24"/>
        </w:rPr>
        <w:t xml:space="preserve">’s legal action lodged in </w:t>
      </w:r>
      <w:r w:rsidR="00615A13" w:rsidRPr="00B045BB">
        <w:rPr>
          <w:rFonts w:cstheme="minorHAnsi"/>
          <w:sz w:val="24"/>
          <w:szCs w:val="24"/>
        </w:rPr>
        <w:t>2008</w:t>
      </w:r>
      <w:r w:rsidR="005139BC" w:rsidRPr="00B045BB">
        <w:rPr>
          <w:rFonts w:cstheme="minorHAnsi"/>
          <w:sz w:val="24"/>
          <w:szCs w:val="24"/>
        </w:rPr>
        <w:t xml:space="preserve"> alleges that disabled students experience </w:t>
      </w:r>
      <w:r w:rsidR="00615A13" w:rsidRPr="00B045BB">
        <w:rPr>
          <w:rFonts w:cstheme="minorHAnsi"/>
          <w:sz w:val="24"/>
          <w:szCs w:val="24"/>
        </w:rPr>
        <w:t>discrimination</w:t>
      </w:r>
      <w:r w:rsidR="00663047" w:rsidRPr="00B045BB">
        <w:rPr>
          <w:rFonts w:cstheme="minorHAnsi"/>
          <w:sz w:val="24"/>
          <w:szCs w:val="24"/>
        </w:rPr>
        <w:t xml:space="preserve">, because of the lack of reasonable accommodation provided, </w:t>
      </w:r>
      <w:r w:rsidR="00615A13" w:rsidRPr="00B045BB">
        <w:rPr>
          <w:rFonts w:cstheme="minorHAnsi"/>
          <w:sz w:val="24"/>
          <w:szCs w:val="24"/>
        </w:rPr>
        <w:t>in</w:t>
      </w:r>
      <w:r w:rsidR="005139BC" w:rsidRPr="00B045BB">
        <w:rPr>
          <w:rFonts w:cstheme="minorHAnsi"/>
          <w:sz w:val="24"/>
          <w:szCs w:val="24"/>
        </w:rPr>
        <w:t xml:space="preserve"> their access to and outcomes </w:t>
      </w:r>
      <w:r w:rsidR="00615A13" w:rsidRPr="00B045BB">
        <w:rPr>
          <w:rFonts w:cstheme="minorHAnsi"/>
          <w:sz w:val="24"/>
          <w:szCs w:val="24"/>
        </w:rPr>
        <w:t xml:space="preserve">from education at </w:t>
      </w:r>
      <w:r w:rsidR="00CE4F91" w:rsidRPr="00B045BB">
        <w:rPr>
          <w:rFonts w:cstheme="minorHAnsi"/>
          <w:sz w:val="24"/>
          <w:szCs w:val="24"/>
        </w:rPr>
        <w:t xml:space="preserve">local </w:t>
      </w:r>
      <w:r w:rsidR="00615A13" w:rsidRPr="00B045BB">
        <w:rPr>
          <w:rFonts w:cstheme="minorHAnsi"/>
          <w:sz w:val="24"/>
          <w:szCs w:val="24"/>
        </w:rPr>
        <w:t>primary</w:t>
      </w:r>
      <w:r w:rsidR="005139BC" w:rsidRPr="00B045BB">
        <w:rPr>
          <w:rFonts w:cstheme="minorHAnsi"/>
          <w:sz w:val="24"/>
          <w:szCs w:val="24"/>
        </w:rPr>
        <w:t xml:space="preserve"> and </w:t>
      </w:r>
      <w:r w:rsidR="00615A13" w:rsidRPr="00B045BB">
        <w:rPr>
          <w:rFonts w:cstheme="minorHAnsi"/>
          <w:sz w:val="24"/>
          <w:szCs w:val="24"/>
        </w:rPr>
        <w:t>secondary school</w:t>
      </w:r>
      <w:r w:rsidR="005139BC" w:rsidRPr="00B045BB">
        <w:rPr>
          <w:rFonts w:cstheme="minorHAnsi"/>
          <w:sz w:val="24"/>
          <w:szCs w:val="24"/>
        </w:rPr>
        <w:t xml:space="preserve">. The legal claim </w:t>
      </w:r>
      <w:r w:rsidR="00615A13" w:rsidRPr="00B045BB">
        <w:rPr>
          <w:rFonts w:cstheme="minorHAnsi"/>
          <w:sz w:val="24"/>
          <w:szCs w:val="24"/>
        </w:rPr>
        <w:t>is yet</w:t>
      </w:r>
      <w:r w:rsidR="005139BC" w:rsidRPr="00B045BB">
        <w:rPr>
          <w:rFonts w:cstheme="minorHAnsi"/>
          <w:sz w:val="24"/>
          <w:szCs w:val="24"/>
        </w:rPr>
        <w:t xml:space="preserve"> to be heard by the</w:t>
      </w:r>
      <w:r w:rsidR="00710366">
        <w:rPr>
          <w:rFonts w:cstheme="minorHAnsi"/>
          <w:sz w:val="24"/>
          <w:szCs w:val="24"/>
        </w:rPr>
        <w:t xml:space="preserve"> NZ</w:t>
      </w:r>
      <w:r w:rsidR="005139BC" w:rsidRPr="00B045BB">
        <w:rPr>
          <w:rFonts w:cstheme="minorHAnsi"/>
          <w:sz w:val="24"/>
          <w:szCs w:val="24"/>
        </w:rPr>
        <w:t xml:space="preserve"> Human Rights Review Tribunal and the disabled students, </w:t>
      </w:r>
      <w:r w:rsidR="00710366">
        <w:rPr>
          <w:rFonts w:cstheme="minorHAnsi"/>
          <w:sz w:val="24"/>
          <w:szCs w:val="24"/>
        </w:rPr>
        <w:t xml:space="preserve">who were </w:t>
      </w:r>
      <w:r w:rsidR="005139BC" w:rsidRPr="00B045BB">
        <w:rPr>
          <w:rFonts w:cstheme="minorHAnsi"/>
          <w:sz w:val="24"/>
          <w:szCs w:val="24"/>
        </w:rPr>
        <w:t>part of the original legal claim</w:t>
      </w:r>
      <w:r w:rsidR="00726416" w:rsidRPr="00B045BB">
        <w:rPr>
          <w:rFonts w:cstheme="minorHAnsi"/>
          <w:sz w:val="24"/>
          <w:szCs w:val="24"/>
        </w:rPr>
        <w:t>,</w:t>
      </w:r>
      <w:r w:rsidR="005139BC" w:rsidRPr="00B045BB">
        <w:rPr>
          <w:rFonts w:cstheme="minorHAnsi"/>
          <w:sz w:val="24"/>
          <w:szCs w:val="24"/>
        </w:rPr>
        <w:t xml:space="preserve"> have now </w:t>
      </w:r>
      <w:r w:rsidR="00615A13" w:rsidRPr="00B045BB">
        <w:rPr>
          <w:rFonts w:cstheme="minorHAnsi"/>
          <w:sz w:val="24"/>
          <w:szCs w:val="24"/>
        </w:rPr>
        <w:t>left school</w:t>
      </w:r>
      <w:r w:rsidR="005139BC" w:rsidRPr="00B045BB">
        <w:rPr>
          <w:rFonts w:cstheme="minorHAnsi"/>
          <w:sz w:val="24"/>
          <w:szCs w:val="24"/>
        </w:rPr>
        <w:t xml:space="preserve">. The lack of equitable access to education for disabled </w:t>
      </w:r>
      <w:r w:rsidR="00615A13" w:rsidRPr="00B045BB">
        <w:rPr>
          <w:rFonts w:cstheme="minorHAnsi"/>
          <w:sz w:val="24"/>
          <w:szCs w:val="24"/>
        </w:rPr>
        <w:t>students is now</w:t>
      </w:r>
      <w:r w:rsidR="005139BC" w:rsidRPr="00B045BB">
        <w:rPr>
          <w:rFonts w:cstheme="minorHAnsi"/>
          <w:sz w:val="24"/>
          <w:szCs w:val="24"/>
        </w:rPr>
        <w:t xml:space="preserve"> compounded by the lack of redress and access to justi</w:t>
      </w:r>
      <w:r w:rsidR="00710366">
        <w:rPr>
          <w:rFonts w:cstheme="minorHAnsi"/>
          <w:sz w:val="24"/>
          <w:szCs w:val="24"/>
        </w:rPr>
        <w:t>ce in</w:t>
      </w:r>
      <w:r w:rsidR="005139BC" w:rsidRPr="00B045BB">
        <w:rPr>
          <w:rFonts w:cstheme="minorHAnsi"/>
          <w:sz w:val="24"/>
          <w:szCs w:val="24"/>
        </w:rPr>
        <w:t xml:space="preserve"> respect of having the legal claim heard.</w:t>
      </w:r>
      <w:r w:rsidR="00FC6300" w:rsidRPr="00B045BB">
        <w:rPr>
          <w:rFonts w:cstheme="minorHAnsi"/>
          <w:sz w:val="24"/>
          <w:szCs w:val="24"/>
        </w:rPr>
        <w:t xml:space="preserve"> </w:t>
      </w:r>
    </w:p>
    <w:p w14:paraId="4B75CC75" w14:textId="77777777" w:rsidR="007E794C" w:rsidRPr="00B045BB" w:rsidRDefault="007E794C" w:rsidP="007E794C">
      <w:pPr>
        <w:pStyle w:val="ListParagraph"/>
        <w:rPr>
          <w:rFonts w:eastAsia="Times New Roman" w:cstheme="minorHAnsi"/>
          <w:b/>
          <w:color w:val="4F81BD" w:themeColor="accent1"/>
          <w:sz w:val="24"/>
          <w:szCs w:val="24"/>
          <w:lang w:eastAsia="en-NZ"/>
        </w:rPr>
      </w:pPr>
    </w:p>
    <w:p w14:paraId="355041DB" w14:textId="7F9BAD4F" w:rsidR="00310300" w:rsidRPr="00A13858" w:rsidRDefault="007E794C" w:rsidP="00A13858">
      <w:pPr>
        <w:pStyle w:val="ListParagraph"/>
        <w:numPr>
          <w:ilvl w:val="0"/>
          <w:numId w:val="7"/>
        </w:numPr>
        <w:spacing w:before="100" w:beforeAutospacing="1" w:after="100" w:afterAutospacing="1"/>
        <w:rPr>
          <w:rFonts w:eastAsia="Times New Roman" w:cstheme="minorHAnsi"/>
          <w:b/>
          <w:color w:val="4F81BD" w:themeColor="accent1"/>
          <w:sz w:val="24"/>
          <w:szCs w:val="24"/>
          <w:lang w:eastAsia="en-NZ"/>
        </w:rPr>
      </w:pPr>
      <w:r w:rsidRPr="00AF1E02">
        <w:rPr>
          <w:rFonts w:cstheme="minorHAnsi"/>
          <w:sz w:val="24"/>
          <w:szCs w:val="24"/>
        </w:rPr>
        <w:t xml:space="preserve">New Zealand’s human </w:t>
      </w:r>
      <w:r w:rsidR="006A50E7" w:rsidRPr="00AF1E02">
        <w:rPr>
          <w:rFonts w:cstheme="minorHAnsi"/>
          <w:sz w:val="24"/>
          <w:szCs w:val="24"/>
        </w:rPr>
        <w:t>rights legislation</w:t>
      </w:r>
      <w:r w:rsidRPr="00AF1E02">
        <w:rPr>
          <w:rFonts w:cstheme="minorHAnsi"/>
          <w:sz w:val="24"/>
          <w:szCs w:val="24"/>
        </w:rPr>
        <w:t xml:space="preserve"> has been entirely ineffective in enabling the voice of disabled children to be heard and their experiences within the education system to be considered.  For </w:t>
      </w:r>
      <w:r w:rsidR="006A50E7" w:rsidRPr="00AF1E02">
        <w:rPr>
          <w:rFonts w:cstheme="minorHAnsi"/>
          <w:sz w:val="24"/>
          <w:szCs w:val="24"/>
        </w:rPr>
        <w:t>fourteen years</w:t>
      </w:r>
      <w:r w:rsidRPr="00AF1E02">
        <w:rPr>
          <w:rFonts w:cstheme="minorHAnsi"/>
          <w:sz w:val="24"/>
          <w:szCs w:val="24"/>
        </w:rPr>
        <w:t xml:space="preserve"> t</w:t>
      </w:r>
      <w:r w:rsidR="0093252E" w:rsidRPr="00AF1E02">
        <w:rPr>
          <w:rFonts w:cstheme="minorHAnsi"/>
          <w:sz w:val="24"/>
          <w:szCs w:val="24"/>
        </w:rPr>
        <w:t xml:space="preserve">here has been no remedy in the IHC </w:t>
      </w:r>
      <w:r w:rsidRPr="00AF1E02">
        <w:rPr>
          <w:rFonts w:cstheme="minorHAnsi"/>
          <w:sz w:val="24"/>
          <w:szCs w:val="24"/>
        </w:rPr>
        <w:t xml:space="preserve">case.   </w:t>
      </w:r>
      <w:r w:rsidR="0093252E" w:rsidRPr="00AF1E02">
        <w:rPr>
          <w:rFonts w:cstheme="minorHAnsi"/>
          <w:sz w:val="24"/>
          <w:szCs w:val="24"/>
        </w:rPr>
        <w:t>As submitted to the Royal C</w:t>
      </w:r>
      <w:r w:rsidRPr="00AF1E02">
        <w:rPr>
          <w:rFonts w:cstheme="minorHAnsi"/>
          <w:sz w:val="24"/>
          <w:szCs w:val="24"/>
        </w:rPr>
        <w:t xml:space="preserve">ommission into </w:t>
      </w:r>
      <w:r w:rsidR="00745A50" w:rsidRPr="00AF1E02">
        <w:rPr>
          <w:rFonts w:cstheme="minorHAnsi"/>
          <w:sz w:val="24"/>
          <w:szCs w:val="24"/>
        </w:rPr>
        <w:t>Abuse in Care</w:t>
      </w:r>
      <w:r w:rsidRPr="00B045BB">
        <w:rPr>
          <w:rStyle w:val="FootnoteReference"/>
          <w:rFonts w:cstheme="minorHAnsi"/>
          <w:sz w:val="24"/>
          <w:szCs w:val="24"/>
        </w:rPr>
        <w:footnoteReference w:id="12"/>
      </w:r>
      <w:r w:rsidRPr="00AF1E02">
        <w:rPr>
          <w:rFonts w:cstheme="minorHAnsi"/>
          <w:sz w:val="24"/>
          <w:szCs w:val="24"/>
        </w:rPr>
        <w:t xml:space="preserve">, </w:t>
      </w:r>
      <w:r w:rsidR="0093252E" w:rsidRPr="00AF1E02">
        <w:rPr>
          <w:rFonts w:cstheme="minorHAnsi"/>
          <w:sz w:val="24"/>
          <w:szCs w:val="24"/>
        </w:rPr>
        <w:t xml:space="preserve">that </w:t>
      </w:r>
      <w:r w:rsidRPr="00AF1E02">
        <w:rPr>
          <w:rFonts w:cstheme="minorHAnsi"/>
          <w:sz w:val="24"/>
          <w:szCs w:val="24"/>
        </w:rPr>
        <w:t>despite having the support of human rights legislation</w:t>
      </w:r>
      <w:r w:rsidR="0093252E" w:rsidRPr="00AF1E02">
        <w:rPr>
          <w:rFonts w:cstheme="minorHAnsi"/>
          <w:sz w:val="24"/>
          <w:szCs w:val="24"/>
        </w:rPr>
        <w:t>,</w:t>
      </w:r>
      <w:r w:rsidRPr="00AF1E02">
        <w:rPr>
          <w:rFonts w:cstheme="minorHAnsi"/>
          <w:sz w:val="24"/>
          <w:szCs w:val="24"/>
        </w:rPr>
        <w:t xml:space="preserve"> IHC has had to deal with a </w:t>
      </w:r>
      <w:r w:rsidR="0093252E" w:rsidRPr="00AF1E02">
        <w:rPr>
          <w:rFonts w:cstheme="minorHAnsi"/>
          <w:sz w:val="24"/>
          <w:szCs w:val="24"/>
        </w:rPr>
        <w:t>government sector and its advisors that</w:t>
      </w:r>
      <w:r w:rsidRPr="00AF1E02">
        <w:rPr>
          <w:rFonts w:cstheme="minorHAnsi"/>
          <w:sz w:val="24"/>
          <w:szCs w:val="24"/>
        </w:rPr>
        <w:t xml:space="preserve"> </w:t>
      </w:r>
      <w:r w:rsidR="0093252E" w:rsidRPr="00AF1E02">
        <w:rPr>
          <w:rFonts w:cstheme="minorHAnsi"/>
          <w:sz w:val="24"/>
          <w:szCs w:val="24"/>
        </w:rPr>
        <w:t xml:space="preserve">have </w:t>
      </w:r>
      <w:r w:rsidRPr="00AF1E02">
        <w:rPr>
          <w:rFonts w:cstheme="minorHAnsi"/>
          <w:sz w:val="24"/>
          <w:szCs w:val="24"/>
        </w:rPr>
        <w:t>acted throughout as though the proceedings were an intrusion on their rights to govern and develop policy as they saw fit. At best</w:t>
      </w:r>
      <w:r w:rsidR="0093252E" w:rsidRPr="00AF1E02">
        <w:rPr>
          <w:rFonts w:cstheme="minorHAnsi"/>
          <w:sz w:val="24"/>
          <w:szCs w:val="24"/>
        </w:rPr>
        <w:t>,</w:t>
      </w:r>
      <w:r w:rsidRPr="00AF1E02">
        <w:rPr>
          <w:rFonts w:cstheme="minorHAnsi"/>
          <w:sz w:val="24"/>
          <w:szCs w:val="24"/>
        </w:rPr>
        <w:t xml:space="preserve"> these proceedings were resented by the defendants and their legal advisors. At worst</w:t>
      </w:r>
      <w:r w:rsidR="0093252E" w:rsidRPr="00AF1E02">
        <w:rPr>
          <w:rFonts w:cstheme="minorHAnsi"/>
          <w:sz w:val="24"/>
          <w:szCs w:val="24"/>
        </w:rPr>
        <w:t>,</w:t>
      </w:r>
      <w:r w:rsidRPr="00AF1E02">
        <w:rPr>
          <w:rFonts w:cstheme="minorHAnsi"/>
          <w:sz w:val="24"/>
          <w:szCs w:val="24"/>
        </w:rPr>
        <w:t xml:space="preserve"> they were effectively obstructed. A whole generation of children with disabilities requi</w:t>
      </w:r>
      <w:r w:rsidR="00710366">
        <w:rPr>
          <w:rFonts w:cstheme="minorHAnsi"/>
          <w:sz w:val="24"/>
          <w:szCs w:val="24"/>
        </w:rPr>
        <w:t>ring accommodations to learn have</w:t>
      </w:r>
      <w:r w:rsidRPr="00AF1E02">
        <w:rPr>
          <w:rFonts w:cstheme="minorHAnsi"/>
          <w:sz w:val="24"/>
          <w:szCs w:val="24"/>
        </w:rPr>
        <w:t xml:space="preserve"> moved through school since this claim was first made.  A whole gene</w:t>
      </w:r>
      <w:r w:rsidR="0093252E" w:rsidRPr="00AF1E02">
        <w:rPr>
          <w:rFonts w:cstheme="minorHAnsi"/>
          <w:sz w:val="24"/>
          <w:szCs w:val="24"/>
        </w:rPr>
        <w:t xml:space="preserve">ration of children have not </w:t>
      </w:r>
      <w:r w:rsidRPr="00AF1E02">
        <w:rPr>
          <w:rFonts w:cstheme="minorHAnsi"/>
          <w:sz w:val="24"/>
          <w:szCs w:val="24"/>
        </w:rPr>
        <w:t>experienced equitable access to and outcomes from an inclusive education in this time.  They will live with the deleterious consequences of this on all their human rights as citizens.  Their families, and society at large, have</w:t>
      </w:r>
      <w:r w:rsidR="0093252E" w:rsidRPr="00AF1E02">
        <w:rPr>
          <w:rFonts w:cstheme="minorHAnsi"/>
          <w:sz w:val="24"/>
          <w:szCs w:val="24"/>
        </w:rPr>
        <w:t xml:space="preserve"> missed out by not having these</w:t>
      </w:r>
      <w:r w:rsidRPr="00AF1E02">
        <w:rPr>
          <w:rFonts w:cstheme="minorHAnsi"/>
          <w:sz w:val="24"/>
          <w:szCs w:val="24"/>
        </w:rPr>
        <w:t xml:space="preserve"> adults operating at their full potential.</w:t>
      </w:r>
    </w:p>
    <w:p w14:paraId="75748E71" w14:textId="77777777" w:rsidR="00A13858" w:rsidRPr="00A13858" w:rsidRDefault="00A13858" w:rsidP="00A13858">
      <w:pPr>
        <w:pStyle w:val="ListParagraph"/>
        <w:spacing w:before="100" w:beforeAutospacing="1" w:after="100" w:afterAutospacing="1"/>
        <w:ind w:left="360"/>
        <w:rPr>
          <w:rFonts w:eastAsia="Times New Roman" w:cstheme="minorHAnsi"/>
          <w:b/>
          <w:color w:val="4F81BD" w:themeColor="accent1"/>
          <w:sz w:val="24"/>
          <w:szCs w:val="24"/>
          <w:lang w:eastAsia="en-NZ"/>
        </w:rPr>
      </w:pPr>
    </w:p>
    <w:p w14:paraId="6B71D7F6" w14:textId="1254A052" w:rsidR="005139BC" w:rsidRPr="00310300" w:rsidRDefault="00AD4C12" w:rsidP="00310300">
      <w:pPr>
        <w:pStyle w:val="CommentText"/>
        <w:numPr>
          <w:ilvl w:val="0"/>
          <w:numId w:val="7"/>
        </w:numPr>
      </w:pPr>
      <w:r w:rsidRPr="00AD4C12">
        <w:rPr>
          <w:sz w:val="24"/>
          <w:szCs w:val="24"/>
        </w:rPr>
        <w:t xml:space="preserve"> In addition</w:t>
      </w:r>
      <w:r w:rsidR="00710366">
        <w:rPr>
          <w:sz w:val="24"/>
          <w:szCs w:val="24"/>
        </w:rPr>
        <w:t>,</w:t>
      </w:r>
      <w:r w:rsidRPr="00AD4C12">
        <w:rPr>
          <w:sz w:val="24"/>
          <w:szCs w:val="24"/>
        </w:rPr>
        <w:t xml:space="preserve"> </w:t>
      </w:r>
      <w:r w:rsidR="00AF1E02" w:rsidRPr="00AD4C12">
        <w:rPr>
          <w:sz w:val="24"/>
          <w:szCs w:val="24"/>
        </w:rPr>
        <w:t xml:space="preserve">IHC and IEAG </w:t>
      </w:r>
      <w:r w:rsidRPr="00AD4C12">
        <w:rPr>
          <w:sz w:val="24"/>
          <w:szCs w:val="24"/>
        </w:rPr>
        <w:t xml:space="preserve">note </w:t>
      </w:r>
      <w:proofErr w:type="gramStart"/>
      <w:r w:rsidRPr="00AD4C12">
        <w:rPr>
          <w:sz w:val="24"/>
          <w:szCs w:val="24"/>
        </w:rPr>
        <w:t xml:space="preserve">the </w:t>
      </w:r>
      <w:r w:rsidR="00AF1E02" w:rsidRPr="00AD4C12">
        <w:rPr>
          <w:sz w:val="24"/>
          <w:szCs w:val="24"/>
        </w:rPr>
        <w:t xml:space="preserve"> failure</w:t>
      </w:r>
      <w:proofErr w:type="gramEnd"/>
      <w:r w:rsidR="00AF1E02" w:rsidRPr="00AD4C12">
        <w:rPr>
          <w:sz w:val="24"/>
          <w:szCs w:val="24"/>
        </w:rPr>
        <w:t xml:space="preserve"> of independent monitors to get any traction  on the</w:t>
      </w:r>
      <w:r w:rsidRPr="00AD4C12">
        <w:rPr>
          <w:sz w:val="24"/>
          <w:szCs w:val="24"/>
        </w:rPr>
        <w:t xml:space="preserve">ir reported priority </w:t>
      </w:r>
      <w:r w:rsidR="00AF1E02" w:rsidRPr="00AD4C12">
        <w:rPr>
          <w:sz w:val="24"/>
          <w:szCs w:val="24"/>
        </w:rPr>
        <w:t xml:space="preserve"> areas </w:t>
      </w:r>
      <w:r w:rsidRPr="00AD4C12">
        <w:rPr>
          <w:sz w:val="24"/>
          <w:szCs w:val="24"/>
        </w:rPr>
        <w:t>of concern</w:t>
      </w:r>
      <w:r w:rsidR="00363DBC">
        <w:rPr>
          <w:sz w:val="24"/>
          <w:szCs w:val="24"/>
        </w:rPr>
        <w:t xml:space="preserve">.  </w:t>
      </w:r>
      <w:proofErr w:type="gramStart"/>
      <w:r w:rsidR="00363DBC">
        <w:rPr>
          <w:sz w:val="24"/>
          <w:szCs w:val="24"/>
        </w:rPr>
        <w:t>The  recommendations</w:t>
      </w:r>
      <w:proofErr w:type="gramEnd"/>
      <w:r w:rsidR="00363DBC">
        <w:rPr>
          <w:sz w:val="24"/>
          <w:szCs w:val="24"/>
        </w:rPr>
        <w:t xml:space="preserve"> of the Independent Monitoring Mechanism (IMM) in the  2016 ‘</w:t>
      </w:r>
      <w:r w:rsidR="00AF1E02" w:rsidRPr="00AD4C12">
        <w:rPr>
          <w:sz w:val="24"/>
          <w:szCs w:val="24"/>
        </w:rPr>
        <w:t>Art</w:t>
      </w:r>
      <w:r w:rsidR="00363DBC">
        <w:rPr>
          <w:sz w:val="24"/>
          <w:szCs w:val="24"/>
        </w:rPr>
        <w:t>icle</w:t>
      </w:r>
      <w:r w:rsidR="00AF1E02" w:rsidRPr="00AD4C12">
        <w:rPr>
          <w:sz w:val="24"/>
          <w:szCs w:val="24"/>
        </w:rPr>
        <w:t xml:space="preserve"> 24 </w:t>
      </w:r>
      <w:r w:rsidR="00363DBC">
        <w:rPr>
          <w:sz w:val="24"/>
          <w:szCs w:val="24"/>
        </w:rPr>
        <w:t>Inclusive Education Implementation Report’</w:t>
      </w:r>
      <w:r w:rsidR="00363DBC">
        <w:rPr>
          <w:rStyle w:val="FootnoteReference"/>
          <w:sz w:val="24"/>
          <w:szCs w:val="24"/>
        </w:rPr>
        <w:footnoteReference w:id="13"/>
      </w:r>
      <w:r w:rsidRPr="00AD4C12">
        <w:rPr>
          <w:sz w:val="24"/>
          <w:szCs w:val="24"/>
        </w:rPr>
        <w:t xml:space="preserve"> have not been accepted or implemented. Similarly the </w:t>
      </w:r>
      <w:r w:rsidR="00363DBC">
        <w:rPr>
          <w:sz w:val="24"/>
          <w:szCs w:val="24"/>
        </w:rPr>
        <w:t xml:space="preserve">IMM 2014-2019 </w:t>
      </w:r>
      <w:r w:rsidRPr="00AD4C12">
        <w:rPr>
          <w:sz w:val="24"/>
          <w:szCs w:val="24"/>
        </w:rPr>
        <w:t>M</w:t>
      </w:r>
      <w:r w:rsidR="00AF1E02" w:rsidRPr="00AD4C12">
        <w:rPr>
          <w:sz w:val="24"/>
          <w:szCs w:val="24"/>
        </w:rPr>
        <w:t xml:space="preserve">aking </w:t>
      </w:r>
      <w:r w:rsidRPr="00AD4C12">
        <w:rPr>
          <w:sz w:val="24"/>
          <w:szCs w:val="24"/>
        </w:rPr>
        <w:t>D</w:t>
      </w:r>
      <w:r w:rsidR="00AF1E02" w:rsidRPr="00AD4C12">
        <w:rPr>
          <w:sz w:val="24"/>
          <w:szCs w:val="24"/>
        </w:rPr>
        <w:t xml:space="preserve">isability </w:t>
      </w:r>
      <w:r w:rsidRPr="00AD4C12">
        <w:rPr>
          <w:sz w:val="24"/>
          <w:szCs w:val="24"/>
        </w:rPr>
        <w:t>R</w:t>
      </w:r>
      <w:r w:rsidR="00AF1E02" w:rsidRPr="00AD4C12">
        <w:rPr>
          <w:sz w:val="24"/>
          <w:szCs w:val="24"/>
        </w:rPr>
        <w:t xml:space="preserve">ights </w:t>
      </w:r>
      <w:r w:rsidRPr="00AD4C12">
        <w:rPr>
          <w:sz w:val="24"/>
          <w:szCs w:val="24"/>
        </w:rPr>
        <w:t>R</w:t>
      </w:r>
      <w:r w:rsidR="00AF1E02" w:rsidRPr="00AD4C12">
        <w:rPr>
          <w:sz w:val="24"/>
          <w:szCs w:val="24"/>
        </w:rPr>
        <w:t xml:space="preserve">eal report which noted </w:t>
      </w:r>
      <w:r w:rsidRPr="00AD4C12">
        <w:rPr>
          <w:sz w:val="24"/>
          <w:szCs w:val="24"/>
        </w:rPr>
        <w:t>“</w:t>
      </w:r>
      <w:r w:rsidR="00AF1E02" w:rsidRPr="00AD4C12">
        <w:rPr>
          <w:sz w:val="24"/>
          <w:szCs w:val="24"/>
        </w:rPr>
        <w:t xml:space="preserve">education, housing and seclusion and restraint are the most pressing issues for disabled people that the </w:t>
      </w:r>
      <w:r w:rsidR="00AF1E02" w:rsidRPr="00AD4C12">
        <w:rPr>
          <w:sz w:val="24"/>
          <w:szCs w:val="24"/>
        </w:rPr>
        <w:lastRenderedPageBreak/>
        <w:t xml:space="preserve">Government must take urgent action </w:t>
      </w:r>
      <w:proofErr w:type="gramStart"/>
      <w:r w:rsidR="00AF1E02" w:rsidRPr="00AD4C12">
        <w:rPr>
          <w:sz w:val="24"/>
          <w:szCs w:val="24"/>
        </w:rPr>
        <w:t>on</w:t>
      </w:r>
      <w:r w:rsidRPr="00AD4C12">
        <w:rPr>
          <w:sz w:val="24"/>
          <w:szCs w:val="24"/>
        </w:rPr>
        <w:t>”  have</w:t>
      </w:r>
      <w:proofErr w:type="gramEnd"/>
      <w:r w:rsidRPr="00AD4C12">
        <w:rPr>
          <w:sz w:val="24"/>
          <w:szCs w:val="24"/>
        </w:rPr>
        <w:t xml:space="preserve"> not resulted in action  by government to address th</w:t>
      </w:r>
      <w:r w:rsidR="00C203BE">
        <w:rPr>
          <w:sz w:val="24"/>
          <w:szCs w:val="24"/>
        </w:rPr>
        <w:t>ose</w:t>
      </w:r>
      <w:r w:rsidRPr="00AD4C12">
        <w:rPr>
          <w:sz w:val="24"/>
          <w:szCs w:val="24"/>
        </w:rPr>
        <w:t xml:space="preserve"> pressing issues.</w:t>
      </w:r>
      <w:r w:rsidR="00363DBC">
        <w:rPr>
          <w:rStyle w:val="FootnoteReference"/>
          <w:sz w:val="24"/>
          <w:szCs w:val="24"/>
        </w:rPr>
        <w:footnoteReference w:id="14"/>
      </w:r>
      <w:r w:rsidRPr="00AD4C12">
        <w:rPr>
          <w:sz w:val="24"/>
          <w:szCs w:val="24"/>
        </w:rPr>
        <w:t xml:space="preserve"> There appears to be a </w:t>
      </w:r>
      <w:r w:rsidR="00AF1E02" w:rsidRPr="00AD4C12">
        <w:rPr>
          <w:sz w:val="24"/>
          <w:szCs w:val="24"/>
        </w:rPr>
        <w:t xml:space="preserve"> breakdown in how the independent human rights processes are meant to work in </w:t>
      </w:r>
      <w:r w:rsidRPr="00AD4C12">
        <w:rPr>
          <w:sz w:val="24"/>
          <w:szCs w:val="24"/>
        </w:rPr>
        <w:t>New Zealand</w:t>
      </w:r>
      <w:r>
        <w:rPr>
          <w:sz w:val="24"/>
          <w:szCs w:val="24"/>
        </w:rPr>
        <w:t>.</w:t>
      </w:r>
      <w:r w:rsidR="007E794C" w:rsidRPr="00310300">
        <w:rPr>
          <w:rFonts w:cstheme="minorHAnsi"/>
          <w:sz w:val="24"/>
          <w:szCs w:val="24"/>
        </w:rPr>
        <w:t xml:space="preserve">   </w:t>
      </w:r>
    </w:p>
    <w:p w14:paraId="0976E6D1" w14:textId="77777777" w:rsidR="00675E54" w:rsidRPr="00B045BB" w:rsidRDefault="00615A13" w:rsidP="00615A13">
      <w:pPr>
        <w:rPr>
          <w:rFonts w:asciiTheme="minorHAnsi" w:eastAsia="Times New Roman" w:hAnsiTheme="minorHAnsi" w:cstheme="minorHAnsi"/>
          <w:b/>
          <w:color w:val="4F81BD" w:themeColor="accent1"/>
          <w:sz w:val="24"/>
          <w:szCs w:val="24"/>
          <w:lang w:eastAsia="en-NZ" w:bidi="ar-SA"/>
        </w:rPr>
      </w:pPr>
      <w:r w:rsidRPr="00B045BB">
        <w:rPr>
          <w:rFonts w:asciiTheme="minorHAnsi" w:eastAsia="Times New Roman" w:hAnsiTheme="minorHAnsi" w:cstheme="minorHAnsi"/>
          <w:b/>
          <w:color w:val="4F81BD" w:themeColor="accent1"/>
          <w:sz w:val="24"/>
          <w:szCs w:val="24"/>
          <w:lang w:eastAsia="en-NZ" w:bidi="ar-SA"/>
        </w:rPr>
        <w:t xml:space="preserve">Lack of an enforceable right to inclusive education </w:t>
      </w:r>
      <w:r w:rsidR="00322E35" w:rsidRPr="00B045BB">
        <w:rPr>
          <w:rFonts w:asciiTheme="minorHAnsi" w:eastAsia="Times New Roman" w:hAnsiTheme="minorHAnsi" w:cstheme="minorHAnsi"/>
          <w:b/>
          <w:color w:val="4F81BD" w:themeColor="accent1"/>
          <w:sz w:val="24"/>
          <w:szCs w:val="24"/>
          <w:lang w:eastAsia="en-NZ" w:bidi="ar-SA"/>
        </w:rPr>
        <w:t xml:space="preserve"> </w:t>
      </w:r>
    </w:p>
    <w:p w14:paraId="31818983" w14:textId="77777777" w:rsidR="00663047" w:rsidRPr="00B045BB" w:rsidRDefault="00BE410F" w:rsidP="00D755BC">
      <w:pPr>
        <w:pStyle w:val="ListParagraph"/>
        <w:numPr>
          <w:ilvl w:val="0"/>
          <w:numId w:val="7"/>
        </w:numPr>
        <w:spacing w:before="100" w:beforeAutospacing="1" w:after="100" w:afterAutospacing="1"/>
        <w:rPr>
          <w:rFonts w:cstheme="minorHAnsi"/>
          <w:sz w:val="24"/>
          <w:szCs w:val="24"/>
        </w:rPr>
      </w:pPr>
      <w:r w:rsidRPr="00B045BB">
        <w:rPr>
          <w:rFonts w:cstheme="minorHAnsi"/>
          <w:sz w:val="24"/>
          <w:szCs w:val="24"/>
        </w:rPr>
        <w:t xml:space="preserve">Disabled children in New Zealand do </w:t>
      </w:r>
      <w:r w:rsidR="00D755BC" w:rsidRPr="00B045BB">
        <w:rPr>
          <w:rFonts w:cstheme="minorHAnsi"/>
          <w:sz w:val="24"/>
          <w:szCs w:val="24"/>
        </w:rPr>
        <w:t xml:space="preserve">not currently enjoy a substantive right to inclusive education as a key element of the legislative framework. </w:t>
      </w:r>
      <w:r w:rsidRPr="00B045BB">
        <w:rPr>
          <w:rFonts w:cstheme="minorHAnsi"/>
          <w:sz w:val="24"/>
          <w:szCs w:val="24"/>
        </w:rPr>
        <w:t xml:space="preserve"> </w:t>
      </w:r>
      <w:r w:rsidR="008864C6" w:rsidRPr="00B045BB">
        <w:rPr>
          <w:rFonts w:cstheme="minorHAnsi"/>
          <w:sz w:val="24"/>
          <w:szCs w:val="24"/>
        </w:rPr>
        <w:t xml:space="preserve">A comprehensive and coordinated legislative and policy framework for inclusive education </w:t>
      </w:r>
      <w:r w:rsidR="0093252E" w:rsidRPr="00B045BB">
        <w:rPr>
          <w:rFonts w:cstheme="minorHAnsi"/>
          <w:sz w:val="24"/>
          <w:szCs w:val="24"/>
        </w:rPr>
        <w:t xml:space="preserve">is required as well as </w:t>
      </w:r>
      <w:r w:rsidR="008864C6" w:rsidRPr="00B045BB">
        <w:rPr>
          <w:rFonts w:cstheme="minorHAnsi"/>
          <w:sz w:val="24"/>
          <w:szCs w:val="24"/>
        </w:rPr>
        <w:t xml:space="preserve">a timeframe to ensure that mainstream schools </w:t>
      </w:r>
      <w:r w:rsidR="00CE4F91" w:rsidRPr="00B045BB">
        <w:rPr>
          <w:rFonts w:cstheme="minorHAnsi"/>
          <w:sz w:val="24"/>
          <w:szCs w:val="24"/>
        </w:rPr>
        <w:t xml:space="preserve">are able to develop as inclusive schools, particularly for </w:t>
      </w:r>
      <w:r w:rsidR="008864C6" w:rsidRPr="00B045BB">
        <w:rPr>
          <w:rFonts w:cstheme="minorHAnsi"/>
          <w:sz w:val="24"/>
          <w:szCs w:val="24"/>
        </w:rPr>
        <w:t xml:space="preserve">disabled children in </w:t>
      </w:r>
      <w:r w:rsidR="0093252E" w:rsidRPr="00B045BB">
        <w:rPr>
          <w:rFonts w:cstheme="minorHAnsi"/>
          <w:sz w:val="24"/>
          <w:szCs w:val="24"/>
        </w:rPr>
        <w:t>the</w:t>
      </w:r>
      <w:r w:rsidR="00CE4F91" w:rsidRPr="00B045BB">
        <w:rPr>
          <w:rFonts w:cstheme="minorHAnsi"/>
          <w:sz w:val="24"/>
          <w:szCs w:val="24"/>
        </w:rPr>
        <w:t>ir</w:t>
      </w:r>
      <w:r w:rsidR="0093252E" w:rsidRPr="00B045BB">
        <w:rPr>
          <w:rFonts w:cstheme="minorHAnsi"/>
          <w:sz w:val="24"/>
          <w:szCs w:val="24"/>
        </w:rPr>
        <w:t xml:space="preserve"> school </w:t>
      </w:r>
      <w:r w:rsidR="00CE4F91" w:rsidRPr="00B045BB">
        <w:rPr>
          <w:rFonts w:cstheme="minorHAnsi"/>
          <w:sz w:val="24"/>
          <w:szCs w:val="24"/>
        </w:rPr>
        <w:t>community</w:t>
      </w:r>
      <w:r w:rsidR="0093252E" w:rsidRPr="00B045BB">
        <w:rPr>
          <w:rFonts w:cstheme="minorHAnsi"/>
          <w:sz w:val="24"/>
          <w:szCs w:val="24"/>
        </w:rPr>
        <w:t>. T</w:t>
      </w:r>
      <w:r w:rsidR="008864C6" w:rsidRPr="00B045BB">
        <w:rPr>
          <w:rFonts w:cstheme="minorHAnsi"/>
          <w:sz w:val="24"/>
          <w:szCs w:val="24"/>
        </w:rPr>
        <w:t xml:space="preserve">eachers and all other professionals and persons in contact with children </w:t>
      </w:r>
      <w:r w:rsidR="0093252E" w:rsidRPr="00B045BB">
        <w:rPr>
          <w:rFonts w:cstheme="minorHAnsi"/>
          <w:sz w:val="24"/>
          <w:szCs w:val="24"/>
        </w:rPr>
        <w:t xml:space="preserve">need to </w:t>
      </w:r>
      <w:r w:rsidR="008864C6" w:rsidRPr="00B045BB">
        <w:rPr>
          <w:rFonts w:cstheme="minorHAnsi"/>
          <w:sz w:val="24"/>
          <w:szCs w:val="24"/>
        </w:rPr>
        <w:t>understand the concept of inclusion</w:t>
      </w:r>
      <w:r w:rsidR="00CE4F91" w:rsidRPr="00B045BB">
        <w:rPr>
          <w:rFonts w:cstheme="minorHAnsi"/>
          <w:sz w:val="24"/>
          <w:szCs w:val="24"/>
        </w:rPr>
        <w:t>, why it is important,</w:t>
      </w:r>
      <w:r w:rsidR="008864C6" w:rsidRPr="00B045BB">
        <w:rPr>
          <w:rFonts w:cstheme="minorHAnsi"/>
          <w:sz w:val="24"/>
          <w:szCs w:val="24"/>
        </w:rPr>
        <w:t xml:space="preserve"> and </w:t>
      </w:r>
      <w:r w:rsidR="00CE4F91" w:rsidRPr="00B045BB">
        <w:rPr>
          <w:rFonts w:cstheme="minorHAnsi"/>
          <w:sz w:val="24"/>
          <w:szCs w:val="24"/>
        </w:rPr>
        <w:t xml:space="preserve">what it means for professional practice in </w:t>
      </w:r>
      <w:r w:rsidR="008864C6" w:rsidRPr="00B045BB">
        <w:rPr>
          <w:rFonts w:cstheme="minorHAnsi"/>
          <w:sz w:val="24"/>
          <w:szCs w:val="24"/>
        </w:rPr>
        <w:t>educ</w:t>
      </w:r>
      <w:r w:rsidR="00CE4F91" w:rsidRPr="00B045BB">
        <w:rPr>
          <w:rFonts w:cstheme="minorHAnsi"/>
          <w:sz w:val="24"/>
          <w:szCs w:val="24"/>
        </w:rPr>
        <w:t>ation</w:t>
      </w:r>
      <w:r w:rsidR="008864C6" w:rsidRPr="00B045BB">
        <w:rPr>
          <w:rFonts w:cstheme="minorHAnsi"/>
          <w:sz w:val="24"/>
          <w:szCs w:val="24"/>
        </w:rPr>
        <w:t xml:space="preserve">. </w:t>
      </w:r>
    </w:p>
    <w:p w14:paraId="51853929" w14:textId="77777777" w:rsidR="007E794C" w:rsidRPr="00B045BB" w:rsidRDefault="007E794C" w:rsidP="007E794C">
      <w:pPr>
        <w:pStyle w:val="ListParagraph"/>
        <w:spacing w:before="100" w:beforeAutospacing="1" w:after="100" w:afterAutospacing="1"/>
        <w:ind w:left="360"/>
        <w:rPr>
          <w:rFonts w:cstheme="minorHAnsi"/>
          <w:sz w:val="24"/>
          <w:szCs w:val="24"/>
        </w:rPr>
      </w:pPr>
    </w:p>
    <w:p w14:paraId="276939D9" w14:textId="0F8E3E5C" w:rsidR="000F4A36" w:rsidRPr="00310300" w:rsidRDefault="00663047" w:rsidP="00310300">
      <w:pPr>
        <w:pStyle w:val="ListParagraph"/>
        <w:numPr>
          <w:ilvl w:val="0"/>
          <w:numId w:val="7"/>
        </w:numPr>
        <w:spacing w:before="100" w:beforeAutospacing="1" w:after="100" w:afterAutospacing="1"/>
        <w:rPr>
          <w:rFonts w:cstheme="minorHAnsi"/>
          <w:sz w:val="24"/>
          <w:szCs w:val="24"/>
        </w:rPr>
      </w:pPr>
      <w:r w:rsidRPr="00B045BB">
        <w:rPr>
          <w:rFonts w:cstheme="minorHAnsi"/>
          <w:sz w:val="24"/>
          <w:szCs w:val="24"/>
        </w:rPr>
        <w:t>Despite submissions from t</w:t>
      </w:r>
      <w:r w:rsidR="008717D1" w:rsidRPr="00B045BB">
        <w:rPr>
          <w:rFonts w:cstheme="minorHAnsi"/>
          <w:sz w:val="24"/>
          <w:szCs w:val="24"/>
        </w:rPr>
        <w:t xml:space="preserve">he Human Rights Commission, </w:t>
      </w:r>
      <w:r w:rsidRPr="00B045BB">
        <w:rPr>
          <w:rFonts w:cstheme="minorHAnsi"/>
          <w:sz w:val="24"/>
          <w:szCs w:val="24"/>
        </w:rPr>
        <w:t>Children’s Com</w:t>
      </w:r>
      <w:r w:rsidR="008717D1" w:rsidRPr="00B045BB">
        <w:rPr>
          <w:rFonts w:cstheme="minorHAnsi"/>
          <w:sz w:val="24"/>
          <w:szCs w:val="24"/>
        </w:rPr>
        <w:t>missioner, IHC, IEAG and other NGO</w:t>
      </w:r>
      <w:r w:rsidRPr="00B045BB">
        <w:rPr>
          <w:rFonts w:cstheme="minorHAnsi"/>
          <w:sz w:val="24"/>
          <w:szCs w:val="24"/>
        </w:rPr>
        <w:t>’s and D</w:t>
      </w:r>
      <w:r w:rsidR="008717D1" w:rsidRPr="00B045BB">
        <w:rPr>
          <w:rFonts w:cstheme="minorHAnsi"/>
          <w:sz w:val="24"/>
          <w:szCs w:val="24"/>
        </w:rPr>
        <w:t>PO</w:t>
      </w:r>
      <w:r w:rsidRPr="00B045BB">
        <w:rPr>
          <w:rFonts w:cstheme="minorHAnsi"/>
          <w:sz w:val="24"/>
          <w:szCs w:val="24"/>
        </w:rPr>
        <w:t>’s  to establish an enforceable right to education, with rights to inclusive education and reasonable accommodation, the new Education and Training Act 2020 remains silent on these important human rights principles and provisions.</w:t>
      </w:r>
    </w:p>
    <w:p w14:paraId="0ADD0A15" w14:textId="77777777" w:rsidR="00663047" w:rsidRPr="00B045BB" w:rsidRDefault="00663047" w:rsidP="00663047">
      <w:pPr>
        <w:spacing w:before="100" w:beforeAutospacing="1" w:after="100" w:afterAutospacing="1"/>
        <w:rPr>
          <w:rFonts w:asciiTheme="minorHAnsi" w:eastAsia="Times New Roman" w:hAnsiTheme="minorHAnsi" w:cstheme="minorHAnsi"/>
          <w:b/>
          <w:color w:val="4F81BD" w:themeColor="accent1"/>
          <w:sz w:val="24"/>
          <w:szCs w:val="24"/>
          <w:lang w:eastAsia="en-NZ" w:bidi="ar-SA"/>
        </w:rPr>
      </w:pPr>
      <w:r w:rsidRPr="00B045BB">
        <w:rPr>
          <w:rFonts w:asciiTheme="minorHAnsi" w:eastAsia="Times New Roman" w:hAnsiTheme="minorHAnsi" w:cstheme="minorHAnsi"/>
          <w:b/>
          <w:color w:val="4F81BD" w:themeColor="accent1"/>
          <w:sz w:val="24"/>
          <w:szCs w:val="24"/>
          <w:lang w:eastAsia="en-NZ"/>
        </w:rPr>
        <w:t>Progressive Realisation</w:t>
      </w:r>
    </w:p>
    <w:p w14:paraId="5CD88FB5" w14:textId="6E0324A7" w:rsidR="00F71C37" w:rsidRPr="00B045BB" w:rsidRDefault="00F71C37" w:rsidP="00F71C37">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 xml:space="preserve">There is a growing recognition across the education and disability sectors about the need </w:t>
      </w:r>
      <w:r w:rsidR="00710366">
        <w:rPr>
          <w:rFonts w:eastAsia="Times New Roman" w:cstheme="minorHAnsi"/>
          <w:color w:val="000000"/>
          <w:sz w:val="24"/>
          <w:szCs w:val="24"/>
          <w:lang w:eastAsia="en-NZ"/>
        </w:rPr>
        <w:t>to develop</w:t>
      </w:r>
      <w:r w:rsidR="00CE4F91"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a framework for action</w:t>
      </w:r>
      <w:r w:rsidR="007E794C" w:rsidRPr="00B045BB">
        <w:rPr>
          <w:rFonts w:eastAsia="Times New Roman" w:cstheme="minorHAnsi"/>
          <w:color w:val="000000"/>
          <w:sz w:val="24"/>
          <w:szCs w:val="24"/>
          <w:lang w:eastAsia="en-NZ"/>
        </w:rPr>
        <w:t xml:space="preserve"> (</w:t>
      </w:r>
      <w:r w:rsidRPr="00B045BB">
        <w:rPr>
          <w:rFonts w:eastAsia="Times New Roman" w:cstheme="minorHAnsi"/>
          <w:color w:val="000000"/>
          <w:sz w:val="24"/>
          <w:szCs w:val="24"/>
          <w:lang w:eastAsia="en-NZ"/>
        </w:rPr>
        <w:t>legislative and policy</w:t>
      </w:r>
      <w:r w:rsidR="006A50E7" w:rsidRPr="00B045BB">
        <w:rPr>
          <w:rFonts w:eastAsia="Times New Roman" w:cstheme="minorHAnsi"/>
          <w:color w:val="000000"/>
          <w:sz w:val="24"/>
          <w:szCs w:val="24"/>
          <w:lang w:eastAsia="en-NZ"/>
        </w:rPr>
        <w:t>) consistent</w:t>
      </w:r>
      <w:r w:rsidRPr="00B045BB">
        <w:rPr>
          <w:rFonts w:eastAsia="Times New Roman" w:cstheme="minorHAnsi"/>
          <w:color w:val="000000"/>
          <w:sz w:val="24"/>
          <w:szCs w:val="24"/>
          <w:lang w:eastAsia="en-NZ"/>
        </w:rPr>
        <w:t xml:space="preserve"> with the guidance provided and outlined with</w:t>
      </w:r>
      <w:r w:rsidR="007E794C" w:rsidRPr="00B045BB">
        <w:rPr>
          <w:rFonts w:eastAsia="Times New Roman" w:cstheme="minorHAnsi"/>
          <w:color w:val="000000"/>
          <w:sz w:val="24"/>
          <w:szCs w:val="24"/>
          <w:lang w:eastAsia="en-NZ"/>
        </w:rPr>
        <w:t>in the General Comment No 4</w:t>
      </w:r>
      <w:r w:rsidRPr="00B045BB">
        <w:rPr>
          <w:rFonts w:eastAsia="Times New Roman" w:cstheme="minorHAnsi"/>
          <w:color w:val="000000"/>
          <w:sz w:val="24"/>
          <w:szCs w:val="24"/>
          <w:lang w:eastAsia="en-NZ"/>
        </w:rPr>
        <w:t xml:space="preserve">. </w:t>
      </w:r>
      <w:r w:rsidR="00D435D3" w:rsidRPr="00B045BB">
        <w:rPr>
          <w:rFonts w:eastAsia="Times New Roman" w:cstheme="minorHAnsi"/>
          <w:color w:val="000000"/>
          <w:sz w:val="24"/>
          <w:szCs w:val="24"/>
          <w:lang w:eastAsia="en-NZ"/>
        </w:rPr>
        <w:t xml:space="preserve">The framework would </w:t>
      </w:r>
      <w:r w:rsidR="007E0750" w:rsidRPr="00B045BB">
        <w:rPr>
          <w:rFonts w:eastAsia="Times New Roman" w:cstheme="minorHAnsi"/>
          <w:color w:val="000000"/>
          <w:sz w:val="24"/>
          <w:szCs w:val="24"/>
          <w:lang w:eastAsia="en-NZ"/>
        </w:rPr>
        <w:t xml:space="preserve">need </w:t>
      </w:r>
      <w:r w:rsidR="00D435D3" w:rsidRPr="00B045BB">
        <w:rPr>
          <w:rFonts w:eastAsia="Times New Roman" w:cstheme="minorHAnsi"/>
          <w:color w:val="000000"/>
          <w:sz w:val="24"/>
          <w:szCs w:val="24"/>
          <w:lang w:eastAsia="en-NZ"/>
        </w:rPr>
        <w:t>to reflect an underst</w:t>
      </w:r>
      <w:r w:rsidR="007E0750" w:rsidRPr="00B045BB">
        <w:rPr>
          <w:rFonts w:eastAsia="Times New Roman" w:cstheme="minorHAnsi"/>
          <w:color w:val="000000"/>
          <w:sz w:val="24"/>
          <w:szCs w:val="24"/>
          <w:lang w:eastAsia="en-NZ"/>
        </w:rPr>
        <w:t xml:space="preserve">anding and commitment to </w:t>
      </w:r>
      <w:r w:rsidR="006A50E7" w:rsidRPr="00B045BB">
        <w:rPr>
          <w:rFonts w:eastAsia="Times New Roman" w:cstheme="minorHAnsi"/>
          <w:color w:val="000000"/>
          <w:sz w:val="24"/>
          <w:szCs w:val="24"/>
          <w:lang w:eastAsia="en-NZ"/>
        </w:rPr>
        <w:t>implement the</w:t>
      </w:r>
      <w:r w:rsidRPr="00B045BB">
        <w:rPr>
          <w:rFonts w:eastAsia="Times New Roman" w:cstheme="minorHAnsi"/>
          <w:color w:val="000000"/>
          <w:sz w:val="24"/>
          <w:szCs w:val="24"/>
          <w:lang w:eastAsia="en-NZ"/>
        </w:rPr>
        <w:t xml:space="preserve"> human rights model of disability.</w:t>
      </w:r>
    </w:p>
    <w:p w14:paraId="7B0E08EA" w14:textId="77777777" w:rsidR="007E794C" w:rsidRPr="00B045BB" w:rsidRDefault="007E794C" w:rsidP="007E794C">
      <w:pPr>
        <w:pStyle w:val="ListParagraph"/>
        <w:spacing w:before="100" w:beforeAutospacing="1" w:after="100" w:afterAutospacing="1"/>
        <w:ind w:left="360"/>
        <w:rPr>
          <w:rFonts w:eastAsia="Times New Roman" w:cstheme="minorHAnsi"/>
          <w:color w:val="000000"/>
          <w:sz w:val="24"/>
          <w:szCs w:val="24"/>
          <w:lang w:eastAsia="en-NZ"/>
        </w:rPr>
      </w:pPr>
    </w:p>
    <w:p w14:paraId="6478E401" w14:textId="77777777" w:rsidR="00663047" w:rsidRPr="00B045BB" w:rsidRDefault="00F71C37" w:rsidP="00D435D3">
      <w:pPr>
        <w:pStyle w:val="ListParagraph"/>
        <w:numPr>
          <w:ilvl w:val="0"/>
          <w:numId w:val="7"/>
        </w:numPr>
        <w:spacing w:before="100" w:beforeAutospacing="1" w:after="100" w:afterAutospacing="1"/>
        <w:rPr>
          <w:rFonts w:eastAsia="Times New Roman" w:cstheme="minorHAnsi"/>
          <w:color w:val="000000"/>
          <w:sz w:val="24"/>
          <w:szCs w:val="24"/>
          <w:lang w:eastAsia="en-NZ"/>
        </w:rPr>
      </w:pPr>
      <w:r w:rsidRPr="00B045BB">
        <w:rPr>
          <w:rFonts w:eastAsia="Times New Roman" w:cstheme="minorHAnsi"/>
          <w:color w:val="000000"/>
          <w:sz w:val="24"/>
          <w:szCs w:val="24"/>
          <w:lang w:eastAsia="en-NZ"/>
        </w:rPr>
        <w:t xml:space="preserve">It is recognised </w:t>
      </w:r>
      <w:r w:rsidR="006A50E7" w:rsidRPr="00B045BB">
        <w:rPr>
          <w:rFonts w:eastAsia="Times New Roman" w:cstheme="minorHAnsi"/>
          <w:color w:val="000000"/>
          <w:sz w:val="24"/>
          <w:szCs w:val="24"/>
          <w:lang w:eastAsia="en-NZ"/>
        </w:rPr>
        <w:t>that the</w:t>
      </w:r>
      <w:r w:rsidRPr="00B045BB">
        <w:rPr>
          <w:rFonts w:eastAsia="Times New Roman" w:cstheme="minorHAnsi"/>
          <w:color w:val="000000"/>
          <w:sz w:val="24"/>
          <w:szCs w:val="24"/>
          <w:lang w:eastAsia="en-NZ"/>
        </w:rPr>
        <w:t xml:space="preserve"> Ministry of Education and other </w:t>
      </w:r>
      <w:r w:rsidR="00D435D3" w:rsidRPr="00B045BB">
        <w:rPr>
          <w:rFonts w:eastAsia="Times New Roman" w:cstheme="minorHAnsi"/>
          <w:color w:val="000000"/>
          <w:sz w:val="24"/>
          <w:szCs w:val="24"/>
          <w:lang w:eastAsia="en-NZ"/>
        </w:rPr>
        <w:t xml:space="preserve">education </w:t>
      </w:r>
      <w:r w:rsidRPr="00B045BB">
        <w:rPr>
          <w:rFonts w:eastAsia="Times New Roman" w:cstheme="minorHAnsi"/>
          <w:color w:val="000000"/>
          <w:sz w:val="24"/>
          <w:szCs w:val="24"/>
          <w:lang w:eastAsia="en-NZ"/>
        </w:rPr>
        <w:t>system le</w:t>
      </w:r>
      <w:r w:rsidR="00D435D3" w:rsidRPr="00B045BB">
        <w:rPr>
          <w:rFonts w:eastAsia="Times New Roman" w:cstheme="minorHAnsi"/>
          <w:color w:val="000000"/>
          <w:sz w:val="24"/>
          <w:szCs w:val="24"/>
          <w:lang w:eastAsia="en-NZ"/>
        </w:rPr>
        <w:t xml:space="preserve">aders have ongoing </w:t>
      </w:r>
      <w:r w:rsidRPr="00B045BB">
        <w:rPr>
          <w:rFonts w:eastAsia="Times New Roman" w:cstheme="minorHAnsi"/>
          <w:color w:val="000000"/>
          <w:sz w:val="24"/>
          <w:szCs w:val="24"/>
          <w:lang w:eastAsia="en-NZ"/>
        </w:rPr>
        <w:t>programme</w:t>
      </w:r>
      <w:r w:rsidR="00D435D3" w:rsidRPr="00B045BB">
        <w:rPr>
          <w:rFonts w:eastAsia="Times New Roman" w:cstheme="minorHAnsi"/>
          <w:color w:val="000000"/>
          <w:sz w:val="24"/>
          <w:szCs w:val="24"/>
          <w:lang w:eastAsia="en-NZ"/>
        </w:rPr>
        <w:t>s</w:t>
      </w:r>
      <w:r w:rsidRPr="00B045BB">
        <w:rPr>
          <w:rFonts w:eastAsia="Times New Roman" w:cstheme="minorHAnsi"/>
          <w:color w:val="000000"/>
          <w:sz w:val="24"/>
          <w:szCs w:val="24"/>
          <w:lang w:eastAsia="en-NZ"/>
        </w:rPr>
        <w:t xml:space="preserve"> of work </w:t>
      </w:r>
      <w:r w:rsidR="00D435D3" w:rsidRPr="00B045BB">
        <w:rPr>
          <w:rFonts w:eastAsia="Times New Roman" w:cstheme="minorHAnsi"/>
          <w:color w:val="000000"/>
          <w:sz w:val="24"/>
          <w:szCs w:val="24"/>
          <w:lang w:eastAsia="en-NZ"/>
        </w:rPr>
        <w:t xml:space="preserve">intended </w:t>
      </w:r>
      <w:r w:rsidRPr="00B045BB">
        <w:rPr>
          <w:rFonts w:eastAsia="Times New Roman" w:cstheme="minorHAnsi"/>
          <w:color w:val="000000"/>
          <w:sz w:val="24"/>
          <w:szCs w:val="24"/>
          <w:lang w:eastAsia="en-NZ"/>
        </w:rPr>
        <w:t xml:space="preserve">to </w:t>
      </w:r>
      <w:r w:rsidR="00CE4F91" w:rsidRPr="00B045BB">
        <w:rPr>
          <w:rFonts w:eastAsia="Times New Roman" w:cstheme="minorHAnsi"/>
          <w:color w:val="000000"/>
          <w:sz w:val="24"/>
          <w:szCs w:val="24"/>
          <w:lang w:eastAsia="en-NZ"/>
        </w:rPr>
        <w:t xml:space="preserve">enhance </w:t>
      </w:r>
      <w:r w:rsidRPr="00B045BB">
        <w:rPr>
          <w:rFonts w:eastAsia="Times New Roman" w:cstheme="minorHAnsi"/>
          <w:color w:val="000000"/>
          <w:sz w:val="24"/>
          <w:szCs w:val="24"/>
          <w:lang w:eastAsia="en-NZ"/>
        </w:rPr>
        <w:t xml:space="preserve">recognition </w:t>
      </w:r>
      <w:r w:rsidR="00CE4F91" w:rsidRPr="00B045BB">
        <w:rPr>
          <w:rFonts w:eastAsia="Times New Roman" w:cstheme="minorHAnsi"/>
          <w:color w:val="000000"/>
          <w:sz w:val="24"/>
          <w:szCs w:val="24"/>
          <w:lang w:eastAsia="en-NZ"/>
        </w:rPr>
        <w:t xml:space="preserve">of </w:t>
      </w:r>
      <w:r w:rsidRPr="00B045BB">
        <w:rPr>
          <w:rFonts w:eastAsia="Times New Roman" w:cstheme="minorHAnsi"/>
          <w:color w:val="000000"/>
          <w:sz w:val="24"/>
          <w:szCs w:val="24"/>
          <w:lang w:eastAsia="en-NZ"/>
        </w:rPr>
        <w:t xml:space="preserve">and </w:t>
      </w:r>
      <w:r w:rsidR="00D435D3" w:rsidRPr="00B045BB">
        <w:rPr>
          <w:rFonts w:eastAsia="Times New Roman" w:cstheme="minorHAnsi"/>
          <w:color w:val="000000"/>
          <w:sz w:val="24"/>
          <w:szCs w:val="24"/>
          <w:lang w:eastAsia="en-NZ"/>
        </w:rPr>
        <w:t xml:space="preserve">response </w:t>
      </w:r>
      <w:r w:rsidR="00CE4F91" w:rsidRPr="00B045BB">
        <w:rPr>
          <w:rFonts w:eastAsia="Times New Roman" w:cstheme="minorHAnsi"/>
          <w:color w:val="000000"/>
          <w:sz w:val="24"/>
          <w:szCs w:val="24"/>
          <w:lang w:eastAsia="en-NZ"/>
        </w:rPr>
        <w:t xml:space="preserve">to </w:t>
      </w:r>
      <w:r w:rsidR="00D435D3" w:rsidRPr="00B045BB">
        <w:rPr>
          <w:rFonts w:eastAsia="Times New Roman" w:cstheme="minorHAnsi"/>
          <w:color w:val="000000"/>
          <w:sz w:val="24"/>
          <w:szCs w:val="24"/>
          <w:lang w:eastAsia="en-NZ"/>
        </w:rPr>
        <w:t xml:space="preserve">a disabled students rights to </w:t>
      </w:r>
      <w:r w:rsidR="006A50E7" w:rsidRPr="00B045BB">
        <w:rPr>
          <w:rFonts w:eastAsia="Times New Roman" w:cstheme="minorHAnsi"/>
          <w:color w:val="000000"/>
          <w:sz w:val="24"/>
          <w:szCs w:val="24"/>
          <w:lang w:eastAsia="en-NZ"/>
        </w:rPr>
        <w:t>an inclusive</w:t>
      </w:r>
      <w:r w:rsidR="00D435D3" w:rsidRPr="00B045BB">
        <w:rPr>
          <w:rFonts w:eastAsia="Times New Roman" w:cstheme="minorHAnsi"/>
          <w:color w:val="000000"/>
          <w:sz w:val="24"/>
          <w:szCs w:val="24"/>
          <w:lang w:eastAsia="en-NZ"/>
        </w:rPr>
        <w:t xml:space="preserve"> education.  Existing </w:t>
      </w:r>
      <w:r w:rsidRPr="00B045BB">
        <w:rPr>
          <w:rFonts w:eastAsia="Times New Roman" w:cstheme="minorHAnsi"/>
          <w:color w:val="000000"/>
          <w:sz w:val="24"/>
          <w:szCs w:val="24"/>
          <w:lang w:eastAsia="en-NZ"/>
        </w:rPr>
        <w:t xml:space="preserve">work </w:t>
      </w:r>
      <w:r w:rsidR="00D435D3" w:rsidRPr="00B045BB">
        <w:rPr>
          <w:rFonts w:eastAsia="Times New Roman" w:cstheme="minorHAnsi"/>
          <w:color w:val="000000"/>
          <w:sz w:val="24"/>
          <w:szCs w:val="24"/>
          <w:lang w:eastAsia="en-NZ"/>
        </w:rPr>
        <w:t>programmes could be included in the framework for progres</w:t>
      </w:r>
      <w:r w:rsidR="009C240E" w:rsidRPr="00B045BB">
        <w:rPr>
          <w:rFonts w:eastAsia="Times New Roman" w:cstheme="minorHAnsi"/>
          <w:color w:val="000000"/>
          <w:sz w:val="24"/>
          <w:szCs w:val="24"/>
          <w:lang w:eastAsia="en-NZ"/>
        </w:rPr>
        <w:t>sive realisation along with the</w:t>
      </w:r>
      <w:r w:rsidR="00D435D3" w:rsidRPr="00B045BB">
        <w:rPr>
          <w:rFonts w:eastAsia="Times New Roman" w:cstheme="minorHAnsi"/>
          <w:color w:val="000000"/>
          <w:sz w:val="24"/>
          <w:szCs w:val="24"/>
          <w:lang w:eastAsia="en-NZ"/>
        </w:rPr>
        <w:t xml:space="preserve"> new legislative and policy actions required. This needs to be </w:t>
      </w:r>
      <w:r w:rsidR="006A50E7" w:rsidRPr="00B045BB">
        <w:rPr>
          <w:rFonts w:eastAsia="Times New Roman" w:cstheme="minorHAnsi"/>
          <w:color w:val="000000"/>
          <w:sz w:val="24"/>
          <w:szCs w:val="24"/>
          <w:lang w:eastAsia="en-NZ"/>
        </w:rPr>
        <w:t>developed</w:t>
      </w:r>
      <w:r w:rsidR="00D435D3" w:rsidRPr="00B045BB">
        <w:rPr>
          <w:rFonts w:eastAsia="Times New Roman" w:cstheme="minorHAnsi"/>
          <w:color w:val="000000"/>
          <w:sz w:val="24"/>
          <w:szCs w:val="24"/>
          <w:lang w:eastAsia="en-NZ"/>
        </w:rPr>
        <w:t xml:space="preserve"> with</w:t>
      </w:r>
      <w:r w:rsidR="006A50E7" w:rsidRPr="00B045BB">
        <w:rPr>
          <w:rFonts w:eastAsia="Times New Roman" w:cstheme="minorHAnsi"/>
          <w:color w:val="000000"/>
          <w:sz w:val="24"/>
          <w:szCs w:val="24"/>
          <w:lang w:eastAsia="en-NZ"/>
        </w:rPr>
        <w:t xml:space="preserve"> </w:t>
      </w:r>
      <w:proofErr w:type="spellStart"/>
      <w:r w:rsidR="00D435D3" w:rsidRPr="00B045BB">
        <w:rPr>
          <w:rFonts w:eastAsia="Times New Roman" w:cstheme="minorHAnsi"/>
          <w:color w:val="000000"/>
          <w:sz w:val="24"/>
          <w:szCs w:val="24"/>
          <w:lang w:eastAsia="en-NZ"/>
        </w:rPr>
        <w:t>t</w:t>
      </w:r>
      <w:r w:rsidR="006A50E7" w:rsidRPr="00B045BB">
        <w:rPr>
          <w:rFonts w:eastAsia="Times New Roman" w:cstheme="minorHAnsi"/>
          <w:color w:val="000000"/>
          <w:sz w:val="24"/>
          <w:szCs w:val="24"/>
          <w:lang w:eastAsia="en-NZ"/>
        </w:rPr>
        <w:t>ang</w:t>
      </w:r>
      <w:r w:rsidR="00D435D3" w:rsidRPr="00B045BB">
        <w:rPr>
          <w:rFonts w:eastAsia="Times New Roman" w:cstheme="minorHAnsi"/>
          <w:color w:val="000000"/>
          <w:sz w:val="24"/>
          <w:szCs w:val="24"/>
          <w:lang w:eastAsia="en-NZ"/>
        </w:rPr>
        <w:t>ata</w:t>
      </w:r>
      <w:proofErr w:type="spellEnd"/>
      <w:r w:rsidR="00D435D3" w:rsidRPr="00B045BB">
        <w:rPr>
          <w:rFonts w:eastAsia="Times New Roman" w:cstheme="minorHAnsi"/>
          <w:color w:val="000000"/>
          <w:sz w:val="24"/>
          <w:szCs w:val="24"/>
          <w:lang w:eastAsia="en-NZ"/>
        </w:rPr>
        <w:t xml:space="preserve"> whenua</w:t>
      </w:r>
      <w:r w:rsidR="0093252E" w:rsidRPr="00B045BB">
        <w:rPr>
          <w:rStyle w:val="FootnoteReference"/>
          <w:rFonts w:eastAsia="Times New Roman" w:cstheme="minorHAnsi"/>
          <w:color w:val="000000"/>
          <w:sz w:val="24"/>
          <w:szCs w:val="24"/>
          <w:lang w:eastAsia="en-NZ"/>
        </w:rPr>
        <w:footnoteReference w:id="15"/>
      </w:r>
      <w:r w:rsidR="009C240E" w:rsidRPr="00B045BB">
        <w:rPr>
          <w:rFonts w:eastAsia="Times New Roman" w:cstheme="minorHAnsi"/>
          <w:color w:val="000000"/>
          <w:sz w:val="24"/>
          <w:szCs w:val="24"/>
          <w:lang w:eastAsia="en-NZ"/>
        </w:rPr>
        <w:t>;</w:t>
      </w:r>
      <w:r w:rsidR="00D435D3" w:rsidRPr="00B045BB">
        <w:rPr>
          <w:rFonts w:eastAsia="Times New Roman" w:cstheme="minorHAnsi"/>
          <w:color w:val="000000"/>
          <w:sz w:val="24"/>
          <w:szCs w:val="24"/>
          <w:lang w:eastAsia="en-NZ"/>
        </w:rPr>
        <w:t xml:space="preserve"> disabled people </w:t>
      </w:r>
      <w:r w:rsidR="009C240E" w:rsidRPr="00B045BB">
        <w:rPr>
          <w:rFonts w:eastAsia="Times New Roman" w:cstheme="minorHAnsi"/>
          <w:color w:val="000000"/>
          <w:sz w:val="24"/>
          <w:szCs w:val="24"/>
          <w:lang w:eastAsia="en-NZ"/>
        </w:rPr>
        <w:t xml:space="preserve">and </w:t>
      </w:r>
      <w:r w:rsidR="00D435D3" w:rsidRPr="00B045BB">
        <w:rPr>
          <w:rFonts w:eastAsia="Times New Roman" w:cstheme="minorHAnsi"/>
          <w:color w:val="000000"/>
          <w:sz w:val="24"/>
          <w:szCs w:val="24"/>
          <w:lang w:eastAsia="en-NZ"/>
        </w:rPr>
        <w:t>their representative organisations</w:t>
      </w:r>
      <w:r w:rsidR="009C240E" w:rsidRPr="00B045BB">
        <w:rPr>
          <w:rFonts w:eastAsia="Times New Roman" w:cstheme="minorHAnsi"/>
          <w:color w:val="000000"/>
          <w:sz w:val="24"/>
          <w:szCs w:val="24"/>
          <w:lang w:eastAsia="en-NZ"/>
        </w:rPr>
        <w:t>;</w:t>
      </w:r>
      <w:r w:rsidR="006A50E7" w:rsidRPr="00B045BB">
        <w:rPr>
          <w:rFonts w:eastAsia="Times New Roman" w:cstheme="minorHAnsi"/>
          <w:color w:val="000000"/>
          <w:sz w:val="24"/>
          <w:szCs w:val="24"/>
          <w:lang w:eastAsia="en-NZ"/>
        </w:rPr>
        <w:t xml:space="preserve"> families</w:t>
      </w:r>
      <w:r w:rsidR="009C240E" w:rsidRPr="00B045BB">
        <w:rPr>
          <w:rFonts w:eastAsia="Times New Roman" w:cstheme="minorHAnsi"/>
          <w:color w:val="000000"/>
          <w:sz w:val="24"/>
          <w:szCs w:val="24"/>
          <w:lang w:eastAsia="en-NZ"/>
        </w:rPr>
        <w:t>;</w:t>
      </w:r>
      <w:r w:rsidR="00D435D3" w:rsidRPr="00B045BB">
        <w:rPr>
          <w:rFonts w:eastAsia="Times New Roman" w:cstheme="minorHAnsi"/>
          <w:color w:val="000000"/>
          <w:sz w:val="24"/>
          <w:szCs w:val="24"/>
          <w:lang w:eastAsia="en-NZ"/>
        </w:rPr>
        <w:t xml:space="preserve"> and other key stakeholders.</w:t>
      </w:r>
    </w:p>
    <w:p w14:paraId="0CCFE2E4" w14:textId="77777777" w:rsidR="00A556DF" w:rsidRPr="00B045BB" w:rsidRDefault="00A556DF" w:rsidP="00A556DF">
      <w:pPr>
        <w:spacing w:before="100" w:beforeAutospacing="1" w:after="100" w:afterAutospacing="1"/>
        <w:rPr>
          <w:rFonts w:asciiTheme="minorHAnsi" w:eastAsia="Times New Roman" w:hAnsiTheme="minorHAnsi" w:cstheme="minorHAnsi"/>
          <w:b/>
          <w:color w:val="000000"/>
          <w:sz w:val="24"/>
          <w:szCs w:val="24"/>
          <w:lang w:eastAsia="en-NZ"/>
        </w:rPr>
      </w:pPr>
      <w:r w:rsidRPr="00B045BB">
        <w:rPr>
          <w:rFonts w:asciiTheme="minorHAnsi" w:eastAsia="Times New Roman" w:hAnsiTheme="minorHAnsi" w:cstheme="minorHAnsi"/>
          <w:b/>
          <w:color w:val="000000"/>
          <w:sz w:val="24"/>
          <w:szCs w:val="24"/>
          <w:lang w:eastAsia="en-NZ"/>
        </w:rPr>
        <w:t>Recommendations:</w:t>
      </w:r>
    </w:p>
    <w:p w14:paraId="1E400738" w14:textId="5F8B3C45" w:rsidR="00A556DF" w:rsidRPr="00B045BB" w:rsidRDefault="005139BC" w:rsidP="00B62005">
      <w:pPr>
        <w:pStyle w:val="ListParagraph"/>
        <w:numPr>
          <w:ilvl w:val="0"/>
          <w:numId w:val="7"/>
        </w:numPr>
        <w:spacing w:before="100" w:beforeAutospacing="1" w:after="100" w:afterAutospacing="1"/>
        <w:rPr>
          <w:rFonts w:cstheme="minorHAnsi"/>
          <w:sz w:val="24"/>
          <w:szCs w:val="24"/>
        </w:rPr>
      </w:pPr>
      <w:r w:rsidRPr="00B045BB">
        <w:rPr>
          <w:rFonts w:cstheme="minorHAnsi"/>
          <w:sz w:val="24"/>
          <w:szCs w:val="24"/>
        </w:rPr>
        <w:t xml:space="preserve">IHC and </w:t>
      </w:r>
      <w:r w:rsidR="00A556DF" w:rsidRPr="00B045BB">
        <w:rPr>
          <w:rFonts w:cstheme="minorHAnsi"/>
          <w:sz w:val="24"/>
          <w:szCs w:val="24"/>
        </w:rPr>
        <w:t xml:space="preserve">IEAG </w:t>
      </w:r>
      <w:r w:rsidR="00D755BC" w:rsidRPr="00B045BB">
        <w:rPr>
          <w:rFonts w:cstheme="minorHAnsi"/>
          <w:sz w:val="24"/>
          <w:szCs w:val="24"/>
        </w:rPr>
        <w:t xml:space="preserve">respectfully </w:t>
      </w:r>
      <w:r w:rsidR="0093252E" w:rsidRPr="00B045BB">
        <w:rPr>
          <w:rFonts w:cstheme="minorHAnsi"/>
          <w:sz w:val="24"/>
          <w:szCs w:val="24"/>
        </w:rPr>
        <w:t xml:space="preserve">urges </w:t>
      </w:r>
      <w:r w:rsidR="00A556DF" w:rsidRPr="00B045BB">
        <w:rPr>
          <w:rFonts w:cstheme="minorHAnsi"/>
          <w:sz w:val="24"/>
          <w:szCs w:val="24"/>
        </w:rPr>
        <w:t>that</w:t>
      </w:r>
      <w:r w:rsidR="00B87B61" w:rsidRPr="00B045BB">
        <w:rPr>
          <w:rFonts w:cstheme="minorHAnsi"/>
          <w:sz w:val="24"/>
          <w:szCs w:val="24"/>
        </w:rPr>
        <w:t xml:space="preserve"> the </w:t>
      </w:r>
      <w:r w:rsidR="00A13858">
        <w:rPr>
          <w:rFonts w:cstheme="minorHAnsi"/>
          <w:sz w:val="24"/>
          <w:szCs w:val="24"/>
        </w:rPr>
        <w:t>C</w:t>
      </w:r>
      <w:r w:rsidR="00B87B61" w:rsidRPr="00B045BB">
        <w:rPr>
          <w:rFonts w:cstheme="minorHAnsi"/>
          <w:sz w:val="24"/>
          <w:szCs w:val="24"/>
        </w:rPr>
        <w:t xml:space="preserve">ommittee, </w:t>
      </w:r>
      <w:r w:rsidR="00D755BC" w:rsidRPr="00B045BB">
        <w:rPr>
          <w:rFonts w:cstheme="minorHAnsi"/>
          <w:sz w:val="24"/>
          <w:szCs w:val="24"/>
        </w:rPr>
        <w:t xml:space="preserve">in line with the Committee’s General Comment </w:t>
      </w:r>
      <w:r w:rsidRPr="00B045BB">
        <w:rPr>
          <w:rFonts w:cstheme="minorHAnsi"/>
          <w:sz w:val="24"/>
          <w:szCs w:val="24"/>
        </w:rPr>
        <w:t>No 4 ,</w:t>
      </w:r>
      <w:r w:rsidR="00B87B61" w:rsidRPr="00B045BB">
        <w:rPr>
          <w:rFonts w:cstheme="minorHAnsi"/>
          <w:sz w:val="24"/>
          <w:szCs w:val="24"/>
        </w:rPr>
        <w:t xml:space="preserve"> recommends to the </w:t>
      </w:r>
      <w:r w:rsidR="00A556DF" w:rsidRPr="00B045BB">
        <w:rPr>
          <w:rFonts w:cstheme="minorHAnsi"/>
          <w:sz w:val="24"/>
          <w:szCs w:val="24"/>
        </w:rPr>
        <w:t>New Zealand Government</w:t>
      </w:r>
      <w:r w:rsidR="0093252E" w:rsidRPr="00B045BB">
        <w:rPr>
          <w:rFonts w:cstheme="minorHAnsi"/>
          <w:sz w:val="24"/>
          <w:szCs w:val="24"/>
        </w:rPr>
        <w:t xml:space="preserve"> that it</w:t>
      </w:r>
      <w:r w:rsidR="00A556DF" w:rsidRPr="00B045BB">
        <w:rPr>
          <w:rFonts w:cstheme="minorHAnsi"/>
          <w:sz w:val="24"/>
          <w:szCs w:val="24"/>
        </w:rPr>
        <w:t>:</w:t>
      </w:r>
    </w:p>
    <w:p w14:paraId="1961A046" w14:textId="77777777" w:rsidR="004B6752" w:rsidRPr="00B045BB" w:rsidRDefault="004B6752" w:rsidP="004B6752">
      <w:pPr>
        <w:pStyle w:val="NormalWeb"/>
        <w:numPr>
          <w:ilvl w:val="0"/>
          <w:numId w:val="14"/>
        </w:numPr>
        <w:rPr>
          <w:rFonts w:asciiTheme="minorHAnsi" w:eastAsiaTheme="minorHAnsi" w:hAnsiTheme="minorHAnsi" w:cstheme="minorHAnsi"/>
          <w:lang w:eastAsia="en-US"/>
        </w:rPr>
      </w:pPr>
      <w:r w:rsidRPr="00B045BB">
        <w:rPr>
          <w:rFonts w:asciiTheme="minorHAnsi" w:eastAsiaTheme="minorHAnsi" w:hAnsiTheme="minorHAnsi" w:cstheme="minorHAnsi"/>
          <w:lang w:eastAsia="en-US"/>
        </w:rPr>
        <w:lastRenderedPageBreak/>
        <w:t>d</w:t>
      </w:r>
      <w:r w:rsidR="00A556DF" w:rsidRPr="00B045BB">
        <w:rPr>
          <w:rFonts w:asciiTheme="minorHAnsi" w:eastAsiaTheme="minorHAnsi" w:hAnsiTheme="minorHAnsi" w:cstheme="minorHAnsi"/>
          <w:lang w:eastAsia="en-US"/>
        </w:rPr>
        <w:t>evelop a comprehensive and coordinated legislative and policy frame</w:t>
      </w:r>
      <w:r w:rsidRPr="00B045BB">
        <w:rPr>
          <w:rFonts w:asciiTheme="minorHAnsi" w:eastAsiaTheme="minorHAnsi" w:hAnsiTheme="minorHAnsi" w:cstheme="minorHAnsi"/>
          <w:lang w:eastAsia="en-US"/>
        </w:rPr>
        <w:t>work for inclusive education with</w:t>
      </w:r>
      <w:r w:rsidR="00A556DF" w:rsidRPr="00B045BB">
        <w:rPr>
          <w:rFonts w:asciiTheme="minorHAnsi" w:eastAsiaTheme="minorHAnsi" w:hAnsiTheme="minorHAnsi" w:cstheme="minorHAnsi"/>
          <w:lang w:eastAsia="en-US"/>
        </w:rPr>
        <w:t xml:space="preserve"> a </w:t>
      </w:r>
      <w:r w:rsidR="00C32FA5" w:rsidRPr="00B045BB">
        <w:rPr>
          <w:rFonts w:asciiTheme="minorHAnsi" w:eastAsiaTheme="minorHAnsi" w:hAnsiTheme="minorHAnsi" w:cstheme="minorHAnsi"/>
          <w:lang w:eastAsia="en-US"/>
        </w:rPr>
        <w:t xml:space="preserve">clear and adequate </w:t>
      </w:r>
      <w:r w:rsidR="00A556DF" w:rsidRPr="00B045BB">
        <w:rPr>
          <w:rFonts w:asciiTheme="minorHAnsi" w:eastAsiaTheme="minorHAnsi" w:hAnsiTheme="minorHAnsi" w:cstheme="minorHAnsi"/>
          <w:lang w:eastAsia="en-US"/>
        </w:rPr>
        <w:t xml:space="preserve">timeframe </w:t>
      </w:r>
      <w:r w:rsidRPr="00B045BB">
        <w:rPr>
          <w:rFonts w:asciiTheme="minorHAnsi" w:eastAsiaTheme="minorHAnsi" w:hAnsiTheme="minorHAnsi" w:cstheme="minorHAnsi"/>
          <w:lang w:eastAsia="en-US"/>
        </w:rPr>
        <w:t>for</w:t>
      </w:r>
      <w:r w:rsidR="00720825" w:rsidRPr="00B045BB">
        <w:rPr>
          <w:rFonts w:asciiTheme="minorHAnsi" w:eastAsiaTheme="minorHAnsi" w:hAnsiTheme="minorHAnsi" w:cstheme="minorHAnsi"/>
          <w:lang w:eastAsia="en-US"/>
        </w:rPr>
        <w:t xml:space="preserve"> progressive</w:t>
      </w:r>
      <w:r w:rsidRPr="00B045BB">
        <w:rPr>
          <w:rFonts w:asciiTheme="minorHAnsi" w:eastAsiaTheme="minorHAnsi" w:hAnsiTheme="minorHAnsi" w:cstheme="minorHAnsi"/>
          <w:lang w:eastAsia="en-US"/>
        </w:rPr>
        <w:t xml:space="preserve"> implementati</w:t>
      </w:r>
      <w:r w:rsidR="009C240E" w:rsidRPr="00B045BB">
        <w:rPr>
          <w:rFonts w:asciiTheme="minorHAnsi" w:eastAsiaTheme="minorHAnsi" w:hAnsiTheme="minorHAnsi" w:cstheme="minorHAnsi"/>
          <w:lang w:eastAsia="en-US"/>
        </w:rPr>
        <w:t>on and sanctions for violations;</w:t>
      </w:r>
    </w:p>
    <w:p w14:paraId="514E685B" w14:textId="77777777" w:rsidR="00D755BC" w:rsidRPr="00B045BB" w:rsidRDefault="00D755BC" w:rsidP="00FE25F9">
      <w:pPr>
        <w:pStyle w:val="NormalWeb"/>
        <w:numPr>
          <w:ilvl w:val="0"/>
          <w:numId w:val="14"/>
        </w:numPr>
        <w:rPr>
          <w:rFonts w:asciiTheme="minorHAnsi" w:eastAsiaTheme="minorHAnsi" w:hAnsiTheme="minorHAnsi" w:cstheme="minorHAnsi"/>
          <w:lang w:eastAsia="en-US"/>
        </w:rPr>
      </w:pPr>
      <w:r w:rsidRPr="00B045BB">
        <w:rPr>
          <w:rFonts w:asciiTheme="minorHAnsi" w:eastAsiaTheme="minorHAnsi" w:hAnsiTheme="minorHAnsi" w:cstheme="minorHAnsi"/>
          <w:lang w:eastAsia="en-US"/>
        </w:rPr>
        <w:t>recognise the need for reasonable accommodations to support inclusion, based on human rights standards rather than on the efficient use of resources, together with sanctions for failure to provide reasonable accommodation</w:t>
      </w:r>
      <w:r w:rsidR="009C240E" w:rsidRPr="00B045BB">
        <w:rPr>
          <w:rFonts w:asciiTheme="minorHAnsi" w:eastAsiaTheme="minorHAnsi" w:hAnsiTheme="minorHAnsi" w:cstheme="minorHAnsi"/>
          <w:lang w:eastAsia="en-US"/>
        </w:rPr>
        <w:t>;</w:t>
      </w:r>
    </w:p>
    <w:p w14:paraId="48065D79" w14:textId="09A2036C" w:rsidR="00FE25F9" w:rsidRPr="00B045BB" w:rsidRDefault="00FE25F9" w:rsidP="004B6752">
      <w:pPr>
        <w:pStyle w:val="NormalWeb"/>
        <w:numPr>
          <w:ilvl w:val="0"/>
          <w:numId w:val="14"/>
        </w:numPr>
        <w:rPr>
          <w:rFonts w:asciiTheme="minorHAnsi" w:eastAsiaTheme="minorHAnsi" w:hAnsiTheme="minorHAnsi" w:cstheme="minorHAnsi"/>
          <w:lang w:eastAsia="en-US"/>
        </w:rPr>
      </w:pPr>
      <w:r w:rsidRPr="00B045BB">
        <w:rPr>
          <w:rFonts w:asciiTheme="minorHAnsi" w:eastAsiaTheme="minorHAnsi" w:hAnsiTheme="minorHAnsi" w:cstheme="minorHAnsi"/>
          <w:lang w:eastAsia="en-US"/>
        </w:rPr>
        <w:t>t</w:t>
      </w:r>
      <w:r w:rsidR="00D755BC" w:rsidRPr="00B045BB">
        <w:rPr>
          <w:rFonts w:asciiTheme="minorHAnsi" w:eastAsiaTheme="minorHAnsi" w:hAnsiTheme="minorHAnsi" w:cstheme="minorHAnsi"/>
          <w:lang w:eastAsia="en-US"/>
        </w:rPr>
        <w:t>ransfer resources from segregated to inclusive environments and develop a funding mod</w:t>
      </w:r>
      <w:r w:rsidR="009C240E" w:rsidRPr="00B045BB">
        <w:rPr>
          <w:rFonts w:asciiTheme="minorHAnsi" w:eastAsiaTheme="minorHAnsi" w:hAnsiTheme="minorHAnsi" w:cstheme="minorHAnsi"/>
          <w:lang w:eastAsia="en-US"/>
        </w:rPr>
        <w:t>el that allocates resources, supports and incentives to schools so they ca</w:t>
      </w:r>
      <w:r w:rsidR="00710366">
        <w:rPr>
          <w:rFonts w:asciiTheme="minorHAnsi" w:eastAsiaTheme="minorHAnsi" w:hAnsiTheme="minorHAnsi" w:cstheme="minorHAnsi"/>
          <w:lang w:eastAsia="en-US"/>
        </w:rPr>
        <w:t>n</w:t>
      </w:r>
      <w:r w:rsidR="009C240E" w:rsidRPr="00B045BB">
        <w:rPr>
          <w:rFonts w:asciiTheme="minorHAnsi" w:eastAsiaTheme="minorHAnsi" w:hAnsiTheme="minorHAnsi" w:cstheme="minorHAnsi"/>
          <w:lang w:eastAsia="en-US"/>
        </w:rPr>
        <w:t xml:space="preserve"> develop as inclusive education communities ensuring that disabled students belong and learn well; </w:t>
      </w:r>
    </w:p>
    <w:p w14:paraId="373CD2CF" w14:textId="77777777" w:rsidR="00BE410F" w:rsidRPr="00B045BB" w:rsidRDefault="00FE25F9" w:rsidP="004B6752">
      <w:pPr>
        <w:pStyle w:val="NormalWeb"/>
        <w:numPr>
          <w:ilvl w:val="0"/>
          <w:numId w:val="14"/>
        </w:numPr>
        <w:rPr>
          <w:rFonts w:asciiTheme="minorHAnsi" w:eastAsiaTheme="minorHAnsi" w:hAnsiTheme="minorHAnsi" w:cstheme="minorHAnsi"/>
          <w:lang w:eastAsia="en-US"/>
        </w:rPr>
      </w:pPr>
      <w:r w:rsidRPr="00B045BB">
        <w:rPr>
          <w:rFonts w:asciiTheme="minorHAnsi" w:eastAsiaTheme="minorHAnsi" w:hAnsiTheme="minorHAnsi" w:cstheme="minorHAnsi"/>
          <w:lang w:eastAsia="en-US"/>
        </w:rPr>
        <w:t xml:space="preserve">implement the recommendations made by the Committee in the initial report of New Zealand in 2014 to </w:t>
      </w:r>
      <w:r w:rsidR="00B6614C" w:rsidRPr="00B045BB">
        <w:rPr>
          <w:rFonts w:asciiTheme="minorHAnsi" w:eastAsiaTheme="minorHAnsi" w:hAnsiTheme="minorHAnsi" w:cstheme="minorHAnsi"/>
          <w:lang w:eastAsia="en-US"/>
        </w:rPr>
        <w:t xml:space="preserve">undertake further work to increase the provision of reasonable accommodation in primary and secondary education and establish the </w:t>
      </w:r>
      <w:r w:rsidRPr="00B045BB">
        <w:rPr>
          <w:rFonts w:asciiTheme="minorHAnsi" w:eastAsiaTheme="minorHAnsi" w:hAnsiTheme="minorHAnsi" w:cstheme="minorHAnsi"/>
          <w:lang w:eastAsia="en-US"/>
        </w:rPr>
        <w:t>enforceab</w:t>
      </w:r>
      <w:r w:rsidR="00B6614C" w:rsidRPr="00B045BB">
        <w:rPr>
          <w:rFonts w:asciiTheme="minorHAnsi" w:eastAsiaTheme="minorHAnsi" w:hAnsiTheme="minorHAnsi" w:cstheme="minorHAnsi"/>
          <w:lang w:eastAsia="en-US"/>
        </w:rPr>
        <w:t>le right to inclusive education.</w:t>
      </w:r>
    </w:p>
    <w:p w14:paraId="6F790699" w14:textId="77777777" w:rsidR="00DE0E66" w:rsidRPr="00B045BB" w:rsidRDefault="00DE0E66" w:rsidP="00D405BF">
      <w:pPr>
        <w:spacing w:after="0" w:line="240" w:lineRule="auto"/>
        <w:rPr>
          <w:rFonts w:asciiTheme="minorHAnsi" w:eastAsiaTheme="minorHAnsi" w:hAnsiTheme="minorHAnsi" w:cstheme="minorHAnsi"/>
          <w:sz w:val="24"/>
          <w:szCs w:val="24"/>
          <w:lang w:bidi="ar-SA"/>
        </w:rPr>
      </w:pPr>
    </w:p>
    <w:p w14:paraId="03427297" w14:textId="78BA28B9" w:rsidR="00A13858" w:rsidRPr="00B045BB" w:rsidRDefault="00A13858" w:rsidP="00A13858">
      <w:pPr>
        <w:pStyle w:val="ListParagraph"/>
        <w:numPr>
          <w:ilvl w:val="0"/>
          <w:numId w:val="7"/>
        </w:numPr>
        <w:spacing w:before="100" w:beforeAutospacing="1" w:after="100" w:afterAutospacing="1"/>
        <w:rPr>
          <w:rFonts w:eastAsia="Times New Roman" w:cstheme="minorHAnsi"/>
          <w:sz w:val="24"/>
          <w:szCs w:val="24"/>
          <w:lang w:eastAsia="en-NZ"/>
        </w:rPr>
      </w:pPr>
      <w:r>
        <w:rPr>
          <w:rFonts w:cstheme="minorHAnsi"/>
          <w:sz w:val="24"/>
          <w:szCs w:val="24"/>
        </w:rPr>
        <w:t xml:space="preserve">In conclusion IHC and IEAG thank the Committee for this opportunity to </w:t>
      </w:r>
      <w:r w:rsidRPr="00B045BB">
        <w:rPr>
          <w:rFonts w:eastAsia="Times New Roman" w:cstheme="minorHAnsi"/>
          <w:color w:val="000000"/>
          <w:sz w:val="24"/>
          <w:szCs w:val="24"/>
          <w:lang w:eastAsia="en-NZ"/>
        </w:rPr>
        <w:t>make a joint submission on the Combined Second and Third Periodic Report - United Nations Convention on the Rights of Persons with Disabilities (New Zealand Report).</w:t>
      </w:r>
      <w:r>
        <w:rPr>
          <w:rFonts w:eastAsia="Times New Roman" w:cstheme="minorHAnsi"/>
          <w:color w:val="000000"/>
          <w:sz w:val="24"/>
          <w:szCs w:val="24"/>
          <w:lang w:eastAsia="en-NZ"/>
        </w:rPr>
        <w:t xml:space="preserve">  We would welcome any clarifying questions from the Committee about the information included in our joint submission.</w:t>
      </w:r>
    </w:p>
    <w:p w14:paraId="10FF0981" w14:textId="2732B5F1" w:rsidR="00BD25A3" w:rsidRPr="00B045BB" w:rsidRDefault="00BD25A3" w:rsidP="00D405BF">
      <w:pPr>
        <w:spacing w:after="0" w:line="240" w:lineRule="auto"/>
        <w:rPr>
          <w:rFonts w:asciiTheme="minorHAnsi" w:eastAsiaTheme="minorHAnsi" w:hAnsiTheme="minorHAnsi" w:cstheme="minorHAnsi"/>
          <w:sz w:val="24"/>
          <w:szCs w:val="24"/>
          <w:lang w:bidi="ar-SA"/>
        </w:rPr>
      </w:pPr>
    </w:p>
    <w:p w14:paraId="231C5F53"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p>
    <w:p w14:paraId="1281B53E"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p>
    <w:p w14:paraId="1512C6F2"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p>
    <w:p w14:paraId="0C66E6F7" w14:textId="77777777" w:rsidR="00BD25A3" w:rsidRPr="00B045BB" w:rsidRDefault="006D5A56" w:rsidP="00D405BF">
      <w:pPr>
        <w:spacing w:after="0" w:line="240" w:lineRule="auto"/>
        <w:rPr>
          <w:rFonts w:asciiTheme="minorHAnsi" w:eastAsiaTheme="minorHAnsi" w:hAnsiTheme="minorHAnsi" w:cstheme="minorHAnsi"/>
          <w:sz w:val="24"/>
          <w:szCs w:val="24"/>
          <w:lang w:bidi="ar-SA"/>
        </w:rPr>
      </w:pPr>
      <w:r w:rsidRPr="00B045BB">
        <w:rPr>
          <w:rFonts w:asciiTheme="minorHAnsi" w:eastAsia="Times New Roman" w:hAnsiTheme="minorHAnsi" w:cstheme="minorHAnsi"/>
          <w:bCs/>
          <w:noProof/>
          <w:sz w:val="24"/>
          <w:szCs w:val="24"/>
          <w:lang w:eastAsia="en-NZ" w:bidi="ar-SA"/>
        </w:rPr>
        <w:drawing>
          <wp:anchor distT="0" distB="0" distL="114300" distR="114300" simplePos="0" relativeHeight="251661312" behindDoc="1" locked="0" layoutInCell="1" allowOverlap="1" wp14:anchorId="73358C81" wp14:editId="685C2500">
            <wp:simplePos x="0" y="0"/>
            <wp:positionH relativeFrom="column">
              <wp:posOffset>3219450</wp:posOffset>
            </wp:positionH>
            <wp:positionV relativeFrom="paragraph">
              <wp:posOffset>-1905</wp:posOffset>
            </wp:positionV>
            <wp:extent cx="1590675" cy="483235"/>
            <wp:effectExtent l="0" t="0" r="9525" b="0"/>
            <wp:wrapTight wrapText="bothSides">
              <wp:wrapPolygon edited="0">
                <wp:start x="0" y="0"/>
                <wp:lineTo x="0" y="20436"/>
                <wp:lineTo x="21471" y="20436"/>
                <wp:lineTo x="214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er sig.jpg"/>
                    <pic:cNvPicPr/>
                  </pic:nvPicPr>
                  <pic:blipFill>
                    <a:blip r:embed="rId10">
                      <a:extLst>
                        <a:ext uri="{28A0092B-C50C-407E-A947-70E740481C1C}">
                          <a14:useLocalDpi xmlns:a14="http://schemas.microsoft.com/office/drawing/2010/main" val="0"/>
                        </a:ext>
                      </a:extLst>
                    </a:blip>
                    <a:stretch>
                      <a:fillRect/>
                    </a:stretch>
                  </pic:blipFill>
                  <pic:spPr>
                    <a:xfrm>
                      <a:off x="0" y="0"/>
                      <a:ext cx="1590675" cy="483235"/>
                    </a:xfrm>
                    <a:prstGeom prst="rect">
                      <a:avLst/>
                    </a:prstGeom>
                  </pic:spPr>
                </pic:pic>
              </a:graphicData>
            </a:graphic>
            <wp14:sizeRelH relativeFrom="page">
              <wp14:pctWidth>0</wp14:pctWidth>
            </wp14:sizeRelH>
            <wp14:sizeRelV relativeFrom="page">
              <wp14:pctHeight>0</wp14:pctHeight>
            </wp14:sizeRelV>
          </wp:anchor>
        </w:drawing>
      </w:r>
      <w:r w:rsidR="00756A3E" w:rsidRPr="00B045BB">
        <w:rPr>
          <w:rFonts w:asciiTheme="minorHAnsi" w:hAnsiTheme="minorHAnsi" w:cstheme="minorHAnsi"/>
          <w:noProof/>
          <w:sz w:val="24"/>
          <w:szCs w:val="24"/>
          <w:lang w:eastAsia="en-NZ" w:bidi="ar-SA"/>
        </w:rPr>
        <w:drawing>
          <wp:inline distT="0" distB="0" distL="0" distR="0" wp14:anchorId="32045FD2" wp14:editId="6CDCC790">
            <wp:extent cx="12382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r w:rsidR="00510588" w:rsidRPr="00B045BB">
        <w:rPr>
          <w:rFonts w:asciiTheme="minorHAnsi" w:eastAsiaTheme="minorHAnsi" w:hAnsiTheme="minorHAnsi" w:cstheme="minorHAnsi"/>
          <w:sz w:val="24"/>
          <w:szCs w:val="24"/>
          <w:lang w:bidi="ar-SA"/>
        </w:rPr>
        <w:t xml:space="preserve">                                                         </w:t>
      </w:r>
    </w:p>
    <w:p w14:paraId="62B75C48"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p>
    <w:p w14:paraId="2F5C2C18"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r w:rsidRPr="00B045BB">
        <w:rPr>
          <w:rFonts w:asciiTheme="minorHAnsi" w:eastAsiaTheme="minorHAnsi" w:hAnsiTheme="minorHAnsi" w:cstheme="minorHAnsi"/>
          <w:sz w:val="24"/>
          <w:szCs w:val="24"/>
          <w:lang w:bidi="ar-SA"/>
        </w:rPr>
        <w:t>Trish Grant                                                                        Heather Lear</w:t>
      </w:r>
    </w:p>
    <w:p w14:paraId="7E146ACF"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r w:rsidRPr="00B045BB">
        <w:rPr>
          <w:rFonts w:asciiTheme="minorHAnsi" w:eastAsiaTheme="minorHAnsi" w:hAnsiTheme="minorHAnsi" w:cstheme="minorHAnsi"/>
          <w:sz w:val="24"/>
          <w:szCs w:val="24"/>
          <w:lang w:bidi="ar-SA"/>
        </w:rPr>
        <w:t xml:space="preserve">IHC                                                                                      IEAG </w:t>
      </w:r>
    </w:p>
    <w:p w14:paraId="70527C16" w14:textId="77777777" w:rsidR="00BD25A3" w:rsidRPr="00B045BB" w:rsidRDefault="00BD25A3" w:rsidP="00D405BF">
      <w:pPr>
        <w:spacing w:after="0" w:line="240" w:lineRule="auto"/>
        <w:rPr>
          <w:rFonts w:asciiTheme="minorHAnsi" w:eastAsiaTheme="minorHAnsi" w:hAnsiTheme="minorHAnsi" w:cstheme="minorHAnsi"/>
          <w:sz w:val="24"/>
          <w:szCs w:val="24"/>
          <w:lang w:bidi="ar-SA"/>
        </w:rPr>
      </w:pPr>
      <w:r w:rsidRPr="00B045BB">
        <w:rPr>
          <w:rFonts w:asciiTheme="minorHAnsi" w:eastAsiaTheme="minorHAnsi" w:hAnsiTheme="minorHAnsi" w:cstheme="minorHAnsi"/>
          <w:sz w:val="24"/>
          <w:szCs w:val="24"/>
          <w:lang w:bidi="ar-SA"/>
        </w:rPr>
        <w:t>Inclusive Education Lead                                                Convenor</w:t>
      </w:r>
    </w:p>
    <w:sectPr w:rsidR="00BD25A3" w:rsidRPr="00B045BB" w:rsidSect="00465A58">
      <w:headerReference w:type="default" r:id="rId13"/>
      <w:footerReference w:type="default" r:id="rId14"/>
      <w:headerReference w:type="first" r:id="rId15"/>
      <w:pgSz w:w="11906" w:h="16838"/>
      <w:pgMar w:top="851"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2B38" w14:textId="77777777" w:rsidR="0072778F" w:rsidRDefault="0072778F" w:rsidP="00506209">
      <w:pPr>
        <w:spacing w:after="0" w:line="240" w:lineRule="auto"/>
      </w:pPr>
      <w:r>
        <w:separator/>
      </w:r>
    </w:p>
  </w:endnote>
  <w:endnote w:type="continuationSeparator" w:id="0">
    <w:p w14:paraId="31E1B0AB" w14:textId="77777777" w:rsidR="0072778F" w:rsidRDefault="0072778F" w:rsidP="005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50377"/>
      <w:docPartObj>
        <w:docPartGallery w:val="Page Numbers (Bottom of Page)"/>
        <w:docPartUnique/>
      </w:docPartObj>
    </w:sdtPr>
    <w:sdtEndPr>
      <w:rPr>
        <w:noProof/>
      </w:rPr>
    </w:sdtEndPr>
    <w:sdtContent>
      <w:p w14:paraId="3C67F7F8" w14:textId="77777777" w:rsidR="00DE0E66" w:rsidRDefault="00DE0E66">
        <w:pPr>
          <w:pStyle w:val="Footer"/>
          <w:jc w:val="right"/>
        </w:pPr>
        <w:r>
          <w:fldChar w:fldCharType="begin"/>
        </w:r>
        <w:r>
          <w:instrText xml:space="preserve"> PAGE   \* MERGEFORMAT </w:instrText>
        </w:r>
        <w:r>
          <w:fldChar w:fldCharType="separate"/>
        </w:r>
        <w:r w:rsidR="00FD557F">
          <w:rPr>
            <w:noProof/>
          </w:rPr>
          <w:t>4</w:t>
        </w:r>
        <w:r>
          <w:rPr>
            <w:noProof/>
          </w:rPr>
          <w:fldChar w:fldCharType="end"/>
        </w:r>
      </w:p>
    </w:sdtContent>
  </w:sdt>
  <w:p w14:paraId="7BA0B663" w14:textId="77777777" w:rsidR="00FA3FB0" w:rsidRPr="00FA3FB0" w:rsidRDefault="00FA3FB0" w:rsidP="00FA3FB0">
    <w:pPr>
      <w:pStyle w:val="Footer"/>
      <w:jc w:val="center"/>
      <w:rPr>
        <w:b/>
        <w:bCs/>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9AB4" w14:textId="77777777" w:rsidR="0072778F" w:rsidRDefault="0072778F" w:rsidP="00506209">
      <w:pPr>
        <w:spacing w:after="0" w:line="240" w:lineRule="auto"/>
      </w:pPr>
      <w:r>
        <w:separator/>
      </w:r>
    </w:p>
  </w:footnote>
  <w:footnote w:type="continuationSeparator" w:id="0">
    <w:p w14:paraId="74CDB076" w14:textId="77777777" w:rsidR="0072778F" w:rsidRDefault="0072778F" w:rsidP="00506209">
      <w:pPr>
        <w:spacing w:after="0" w:line="240" w:lineRule="auto"/>
      </w:pPr>
      <w:r>
        <w:continuationSeparator/>
      </w:r>
    </w:p>
  </w:footnote>
  <w:footnote w:id="1">
    <w:p w14:paraId="154C7103" w14:textId="77777777" w:rsidR="005349D0" w:rsidRPr="009E67CC" w:rsidRDefault="005349D0">
      <w:pPr>
        <w:pStyle w:val="FootnoteText"/>
      </w:pPr>
      <w:r w:rsidRPr="009E67CC">
        <w:rPr>
          <w:rStyle w:val="FootnoteReference"/>
        </w:rPr>
        <w:footnoteRef/>
      </w:r>
      <w:r w:rsidRPr="009E67CC">
        <w:t xml:space="preserve"> Committee on the Rights of Persons with Disabilities,</w:t>
      </w:r>
      <w:r w:rsidR="009E67CC" w:rsidRPr="009E67CC">
        <w:rPr>
          <w:rFonts w:eastAsia="Times New Roman" w:cs="Calibri"/>
          <w:color w:val="000000"/>
          <w:sz w:val="24"/>
          <w:szCs w:val="24"/>
          <w:lang w:eastAsia="en-NZ"/>
        </w:rPr>
        <w:t xml:space="preserve"> </w:t>
      </w:r>
      <w:r w:rsidR="009E67CC" w:rsidRPr="009E67CC">
        <w:t xml:space="preserve">List of Issues prior to submission of the combined second and third periodic reports of New Zealand. CRPD/C/NZL/QPR/2-3. </w:t>
      </w:r>
    </w:p>
  </w:footnote>
  <w:footnote w:id="2">
    <w:p w14:paraId="30982BD9" w14:textId="77777777" w:rsidR="005349D0" w:rsidRDefault="005349D0">
      <w:pPr>
        <w:pStyle w:val="FootnoteText"/>
      </w:pPr>
      <w:r w:rsidRPr="009E67CC">
        <w:rPr>
          <w:rStyle w:val="FootnoteReference"/>
        </w:rPr>
        <w:footnoteRef/>
      </w:r>
      <w:r w:rsidRPr="009E67CC">
        <w:t xml:space="preserve"> Committee on the Rights of Persons with Disabilities, Concluding observations on the initial report of New Zealand. (CRPD/C/NZL/Co/1</w:t>
      </w:r>
    </w:p>
  </w:footnote>
  <w:footnote w:id="3">
    <w:p w14:paraId="58D700AB" w14:textId="77777777" w:rsidR="005349D0" w:rsidRDefault="005349D0">
      <w:pPr>
        <w:pStyle w:val="FootnoteText"/>
      </w:pPr>
      <w:r w:rsidRPr="009E67CC">
        <w:rPr>
          <w:rStyle w:val="FootnoteReference"/>
        </w:rPr>
        <w:footnoteRef/>
      </w:r>
      <w:r w:rsidRPr="009E67CC">
        <w:t xml:space="preserve"> Committee on the Rights of Persons with Disabilities, General Comment No 4, Article 24: Right to inclusive education, (CRPD/C/GC/4, 2 September 2016)</w:t>
      </w:r>
      <w:r w:rsidRPr="00B81E00">
        <w:t xml:space="preserve"> </w:t>
      </w:r>
    </w:p>
  </w:footnote>
  <w:footnote w:id="4">
    <w:p w14:paraId="4B417BFC" w14:textId="77777777" w:rsidR="005349D0" w:rsidRPr="002F0578" w:rsidRDefault="008B7F73" w:rsidP="005349D0">
      <w:pPr>
        <w:pStyle w:val="FootnoteText"/>
      </w:pPr>
      <w:r>
        <w:rPr>
          <w:rStyle w:val="FootnoteReference"/>
        </w:rPr>
        <w:footnoteRef/>
      </w:r>
      <w:r>
        <w:t xml:space="preserve"> </w:t>
      </w:r>
      <w:r w:rsidR="005349D0" w:rsidRPr="002F0578">
        <w:t xml:space="preserve">Tomorrow’s Schools Independent Taskforce. (2018).Our schooling futures: Stronger together.     </w:t>
      </w:r>
    </w:p>
    <w:p w14:paraId="2A3E408D" w14:textId="77777777" w:rsidR="008B7F73" w:rsidRDefault="005349D0">
      <w:pPr>
        <w:pStyle w:val="FootnoteText"/>
      </w:pPr>
      <w:r w:rsidRPr="002F0578">
        <w:t xml:space="preserve">   Wellington, NZ: Ministry of Education)</w:t>
      </w:r>
      <w:r>
        <w:t xml:space="preserve"> </w:t>
      </w:r>
      <w:hyperlink r:id="rId1" w:history="1">
        <w:r w:rsidR="007C3FD3" w:rsidRPr="00655A85">
          <w:rPr>
            <w:rStyle w:val="Hyperlink"/>
          </w:rPr>
          <w:t>https://conversation.education.govt.nz/assets/TSR/Tomorrows-Schools-Review-Report-13Dec2018.PDF</w:t>
        </w:r>
      </w:hyperlink>
      <w:r w:rsidR="007C3FD3">
        <w:t xml:space="preserve"> </w:t>
      </w:r>
    </w:p>
  </w:footnote>
  <w:footnote w:id="5">
    <w:p w14:paraId="313F1812" w14:textId="77777777" w:rsidR="003E615C" w:rsidRDefault="003E615C">
      <w:pPr>
        <w:pStyle w:val="FootnoteText"/>
      </w:pPr>
      <w:r>
        <w:rPr>
          <w:rStyle w:val="FootnoteReference"/>
        </w:rPr>
        <w:footnoteRef/>
      </w:r>
      <w:r>
        <w:t xml:space="preserve"> </w:t>
      </w:r>
      <w:hyperlink r:id="rId2" w:history="1">
        <w:r w:rsidR="00552DC2">
          <w:rPr>
            <w:rStyle w:val="Hyperlink"/>
          </w:rPr>
          <w:t>220715 2022 IHC Inclusive Education Survey.pdf</w:t>
        </w:r>
      </w:hyperlink>
      <w:r w:rsidR="007C3FD3">
        <w:t xml:space="preserve"> </w:t>
      </w:r>
    </w:p>
  </w:footnote>
  <w:footnote w:id="6">
    <w:p w14:paraId="5C8B42E1" w14:textId="77777777" w:rsidR="00A83CDD" w:rsidRDefault="00A83CDD">
      <w:pPr>
        <w:pStyle w:val="FootnoteText"/>
      </w:pPr>
      <w:r>
        <w:rPr>
          <w:rStyle w:val="FootnoteReference"/>
        </w:rPr>
        <w:footnoteRef/>
      </w:r>
      <w:r>
        <w:t xml:space="preserve"> </w:t>
      </w:r>
      <w:r w:rsidR="00615A13">
        <w:t>In 2008 the total roll number at special school was</w:t>
      </w:r>
      <w:r>
        <w:t xml:space="preserve"> 2871. This has increased to 4023 </w:t>
      </w:r>
      <w:r w:rsidR="007C3FD3">
        <w:t xml:space="preserve">in 2021. </w:t>
      </w:r>
      <w:r w:rsidR="009E67CC">
        <w:t xml:space="preserve">Retrieved from </w:t>
      </w:r>
      <w:hyperlink r:id="rId3" w:history="1">
        <w:r w:rsidR="007C3FD3" w:rsidRPr="00655A85">
          <w:rPr>
            <w:rStyle w:val="Hyperlink"/>
          </w:rPr>
          <w:t>https://www.educationcounts.govt.nz/statistics/school-rolls</w:t>
        </w:r>
      </w:hyperlink>
      <w:r w:rsidR="007C3FD3">
        <w:t xml:space="preserve"> </w:t>
      </w:r>
    </w:p>
  </w:footnote>
  <w:footnote w:id="7">
    <w:p w14:paraId="65DC4EE7" w14:textId="58D1AE7D" w:rsidR="00ED0793" w:rsidRDefault="00ED0793">
      <w:pPr>
        <w:pStyle w:val="FootnoteText"/>
      </w:pPr>
      <w:r>
        <w:rPr>
          <w:rStyle w:val="FootnoteReference"/>
        </w:rPr>
        <w:footnoteRef/>
      </w:r>
      <w:r>
        <w:t xml:space="preserve"> According to a recent Ministry of Education stocktake of services 10,291, students (1.2% of the school population) with the highest ongoing disability and learning support needs were supported by the ongoing resourcing scheme as at May 2021. </w:t>
      </w:r>
      <w:r w:rsidR="00460882">
        <w:t xml:space="preserve">Retrieved from </w:t>
      </w:r>
      <w:hyperlink r:id="rId4" w:history="1">
        <w:r w:rsidR="00460882" w:rsidRPr="00FD7F6E">
          <w:rPr>
            <w:rStyle w:val="Hyperlink"/>
          </w:rPr>
          <w:t>https://assets.education.govt.nz/public/Documents/our-work/information-releases/Advice-Seen-by-our-Ministers/September-2021/Cabinet-Paper-material_Redacted.pdf</w:t>
        </w:r>
      </w:hyperlink>
      <w:r w:rsidR="00460882">
        <w:t xml:space="preserve"> see Appendix Three. As at 1 July 2021 4023 students with the highest ongoing disability and learning and support needs were enrolled at a specialist school.  </w:t>
      </w:r>
      <w:r>
        <w:t xml:space="preserve">     </w:t>
      </w:r>
    </w:p>
  </w:footnote>
  <w:footnote w:id="8">
    <w:p w14:paraId="6591917F" w14:textId="68535878" w:rsidR="00A83CDD" w:rsidRDefault="00A83CDD">
      <w:pPr>
        <w:pStyle w:val="FootnoteText"/>
      </w:pPr>
      <w:r w:rsidRPr="005D335A">
        <w:rPr>
          <w:rStyle w:val="FootnoteReference"/>
        </w:rPr>
        <w:footnoteRef/>
      </w:r>
      <w:hyperlink r:id="rId5" w:history="1">
        <w:r w:rsidR="005D335A" w:rsidRPr="005D335A">
          <w:rPr>
            <w:rStyle w:val="Hyperlink"/>
          </w:rPr>
          <w:t>https://assets.education.govt.nz/public/Documents/Ministry/Budgets/Budget2019/NEGP/AucklandTaiTokerauplans.pdf</w:t>
        </w:r>
      </w:hyperlink>
      <w:r w:rsidR="005D335A">
        <w:t xml:space="preserve"> </w:t>
      </w:r>
      <w:r w:rsidR="00460882">
        <w:t>See page 13 “</w:t>
      </w:r>
      <w:r w:rsidR="00460882" w:rsidRPr="003F4743">
        <w:rPr>
          <w:i/>
        </w:rPr>
        <w:t xml:space="preserve">Approximately 85% of ORS </w:t>
      </w:r>
      <w:proofErr w:type="spellStart"/>
      <w:r w:rsidR="00460882" w:rsidRPr="003F4743">
        <w:rPr>
          <w:i/>
        </w:rPr>
        <w:t>verifed</w:t>
      </w:r>
      <w:proofErr w:type="spellEnd"/>
      <w:r w:rsidR="00460882" w:rsidRPr="003F4743">
        <w:rPr>
          <w:i/>
        </w:rPr>
        <w:t xml:space="preserve"> students are enrolled in special schools.”</w:t>
      </w:r>
      <w:r w:rsidR="00460882">
        <w:t xml:space="preserve"> And page 37 “</w:t>
      </w:r>
      <w:r w:rsidR="00460882" w:rsidRPr="003F4743">
        <w:rPr>
          <w:i/>
        </w:rPr>
        <w:t xml:space="preserve">Approximately 82% of ORS </w:t>
      </w:r>
      <w:proofErr w:type="spellStart"/>
      <w:r w:rsidR="00460882" w:rsidRPr="003F4743">
        <w:rPr>
          <w:i/>
        </w:rPr>
        <w:t>verfied</w:t>
      </w:r>
      <w:proofErr w:type="spellEnd"/>
      <w:r w:rsidR="00460882" w:rsidRPr="003F4743">
        <w:rPr>
          <w:i/>
        </w:rPr>
        <w:t xml:space="preserve"> students are enrolled at Rosehill Special School.”</w:t>
      </w:r>
    </w:p>
  </w:footnote>
  <w:footnote w:id="9">
    <w:p w14:paraId="1C879439" w14:textId="77777777" w:rsidR="00C00629" w:rsidRDefault="00C00629" w:rsidP="00C00629">
      <w:pPr>
        <w:pStyle w:val="FootnoteText"/>
      </w:pPr>
      <w:r>
        <w:rPr>
          <w:rStyle w:val="FootnoteReference"/>
        </w:rPr>
        <w:footnoteRef/>
      </w:r>
      <w:r>
        <w:t xml:space="preserve"> </w:t>
      </w:r>
      <w:hyperlink r:id="rId6" w:history="1">
        <w:r>
          <w:rPr>
            <w:rStyle w:val="Hyperlink"/>
          </w:rPr>
          <w:t>https://www.beehive.govt.nz/release/government-build-new-schools-and-classrooms-100000-students</w:t>
        </w:r>
      </w:hyperlink>
    </w:p>
  </w:footnote>
  <w:footnote w:id="10">
    <w:p w14:paraId="184E1571" w14:textId="77777777" w:rsidR="00C00629" w:rsidRDefault="00C00629">
      <w:pPr>
        <w:pStyle w:val="FootnoteText"/>
      </w:pPr>
      <w:r>
        <w:rPr>
          <w:rStyle w:val="FootnoteReference"/>
        </w:rPr>
        <w:footnoteRef/>
      </w:r>
      <w:r>
        <w:t xml:space="preserve"> </w:t>
      </w:r>
      <w:r w:rsidR="005D335A">
        <w:t>Ibid page 8</w:t>
      </w:r>
    </w:p>
  </w:footnote>
  <w:footnote w:id="11">
    <w:p w14:paraId="3C4BD309" w14:textId="2D28AB02" w:rsidR="003F4743" w:rsidRDefault="003F4743">
      <w:pPr>
        <w:pStyle w:val="FootnoteText"/>
      </w:pPr>
      <w:r>
        <w:rPr>
          <w:rStyle w:val="FootnoteReference"/>
        </w:rPr>
        <w:footnoteRef/>
      </w:r>
      <w:r>
        <w:t xml:space="preserve">  Ibid see Appendix Three Current services stocktake. In </w:t>
      </w:r>
      <w:proofErr w:type="gramStart"/>
      <w:r>
        <w:t>2020  399</w:t>
      </w:r>
      <w:proofErr w:type="gramEnd"/>
      <w:r>
        <w:t xml:space="preserve"> students were supported through the Te  Kahu Toi – Intensive Wraparound service </w:t>
      </w:r>
      <w:r w:rsidR="00480ECD">
        <w:t>(TKT/IWS)</w:t>
      </w:r>
      <w:r w:rsidR="00500480">
        <w:t xml:space="preserve"> this service</w:t>
      </w:r>
      <w:r>
        <w:t xml:space="preserve"> provides a comprehensive youth and family centred response at a cost of  $17.5 million. Reallocating the $9million cost of providing residential </w:t>
      </w:r>
      <w:r w:rsidR="00FD557F">
        <w:t>services would fund</w:t>
      </w:r>
      <w:r w:rsidR="00480ECD">
        <w:t>,</w:t>
      </w:r>
      <w:r>
        <w:t xml:space="preserve"> on average</w:t>
      </w:r>
      <w:r w:rsidR="00480ECD">
        <w:t>,</w:t>
      </w:r>
      <w:r>
        <w:t xml:space="preserve"> another 205 </w:t>
      </w:r>
      <w:r w:rsidR="00500480">
        <w:t>students with highly complex learning, social and behavioural difficulties</w:t>
      </w:r>
      <w:r w:rsidR="00FD557F">
        <w:t xml:space="preserve">. </w:t>
      </w:r>
      <w:r w:rsidR="00500480">
        <w:t xml:space="preserve"> </w:t>
      </w:r>
      <w:r w:rsidR="00480ECD">
        <w:t xml:space="preserve">TKT/IWS </w:t>
      </w:r>
      <w:r w:rsidR="00FD557F">
        <w:t xml:space="preserve">is a community based </w:t>
      </w:r>
      <w:r w:rsidR="00480ECD">
        <w:t>service which provides individualised support across home, education and community.</w:t>
      </w:r>
      <w:r w:rsidR="00FD557F">
        <w:t xml:space="preserve"> The reduction in demand for residential specials schools enrolments is largely due to the success of this service which provides supports for students to stay at home and attend schools in their community.   </w:t>
      </w:r>
      <w:r>
        <w:t xml:space="preserve">     </w:t>
      </w:r>
    </w:p>
  </w:footnote>
  <w:footnote w:id="12">
    <w:p w14:paraId="06995583" w14:textId="77777777" w:rsidR="007E794C" w:rsidRDefault="007E794C">
      <w:pPr>
        <w:pStyle w:val="FootnoteText"/>
      </w:pPr>
      <w:r>
        <w:rPr>
          <w:rStyle w:val="FootnoteReference"/>
        </w:rPr>
        <w:footnoteRef/>
      </w:r>
      <w:r>
        <w:t xml:space="preserve"> </w:t>
      </w:r>
      <w:hyperlink r:id="rId7" w:history="1">
        <w:r w:rsidR="00756A3E" w:rsidRPr="00756A3E">
          <w:rPr>
            <w:rStyle w:val="Hyperlink"/>
            <w:rFonts w:ascii="Calibri" w:hAnsi="Calibri" w:cs="Calibri"/>
          </w:rPr>
          <w:t>https://www.abuseincare.org.nz/our-progress/library/v/146/statement-of-ihc-trish-grant-for-state-redress-hearing</w:t>
        </w:r>
      </w:hyperlink>
    </w:p>
  </w:footnote>
  <w:footnote w:id="13">
    <w:p w14:paraId="437244AD" w14:textId="77777777" w:rsidR="00363DBC" w:rsidRDefault="00363DBC">
      <w:pPr>
        <w:pStyle w:val="FootnoteText"/>
      </w:pPr>
      <w:r>
        <w:rPr>
          <w:rStyle w:val="FootnoteReference"/>
        </w:rPr>
        <w:footnoteRef/>
      </w:r>
      <w:hyperlink r:id="rId8" w:history="1">
        <w:r w:rsidRPr="000B71C4">
          <w:rPr>
            <w:rStyle w:val="Hyperlink"/>
          </w:rPr>
          <w:t>https://www.ombudsman.parliament.nz/sites/default/files/201903/imm_interim_implementation_report_final.pdf</w:t>
        </w:r>
      </w:hyperlink>
    </w:p>
  </w:footnote>
  <w:footnote w:id="14">
    <w:p w14:paraId="11C182A2" w14:textId="77777777" w:rsidR="00363DBC" w:rsidRPr="00AD4C12" w:rsidRDefault="00363DBC" w:rsidP="00363DBC">
      <w:pPr>
        <w:pStyle w:val="CommentText"/>
      </w:pPr>
      <w:r>
        <w:rPr>
          <w:rStyle w:val="FootnoteReference"/>
        </w:rPr>
        <w:footnoteRef/>
      </w:r>
      <w:hyperlink r:id="rId9" w:history="1">
        <w:r w:rsidRPr="005A0E49">
          <w:rPr>
            <w:rStyle w:val="Hyperlink"/>
          </w:rPr>
          <w:t>https://www.ombudsman.parliament.nz/resources/making-disability-rights-real-2014-2019-0</w:t>
        </w:r>
      </w:hyperlink>
    </w:p>
    <w:p w14:paraId="47BD35E7" w14:textId="77777777" w:rsidR="00363DBC" w:rsidRDefault="00363DBC">
      <w:pPr>
        <w:pStyle w:val="FootnoteText"/>
      </w:pPr>
    </w:p>
  </w:footnote>
  <w:footnote w:id="15">
    <w:p w14:paraId="40C9A979" w14:textId="77777777" w:rsidR="0093252E" w:rsidRDefault="0093252E">
      <w:pPr>
        <w:pStyle w:val="FootnoteText"/>
      </w:pPr>
      <w:r>
        <w:rPr>
          <w:rStyle w:val="FootnoteReference"/>
        </w:rPr>
        <w:footnoteRef/>
      </w:r>
      <w:r>
        <w:t xml:space="preserve"> </w:t>
      </w:r>
      <w:r w:rsidR="00012F37">
        <w:t xml:space="preserve">In New Zealand, </w:t>
      </w:r>
      <w:proofErr w:type="spellStart"/>
      <w:r w:rsidR="00012F37">
        <w:rPr>
          <w:rStyle w:val="Emphasis"/>
        </w:rPr>
        <w:t>tangata</w:t>
      </w:r>
      <w:proofErr w:type="spellEnd"/>
      <w:r w:rsidR="00012F37">
        <w:rPr>
          <w:rStyle w:val="Emphasis"/>
        </w:rPr>
        <w:t xml:space="preserve"> whenua</w:t>
      </w:r>
      <w:r w:rsidR="00012F37">
        <w:t xml:space="preserve"> is a Māori term that literally </w:t>
      </w:r>
      <w:r w:rsidR="00012F37">
        <w:rPr>
          <w:rStyle w:val="Emphasis"/>
        </w:rPr>
        <w:t>means</w:t>
      </w:r>
      <w:r w:rsidR="00012F37">
        <w:t xml:space="preserve"> "people of the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D8D1" w14:textId="77777777" w:rsidR="00D34282" w:rsidRDefault="00D34282" w:rsidP="00D34282">
    <w:pPr>
      <w:pStyle w:val="Footer"/>
      <w:jc w:val="right"/>
      <w:rPr>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C1FE" w14:textId="77777777" w:rsidR="00D405BF" w:rsidRDefault="00D405BF" w:rsidP="00465A58">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F2"/>
    <w:multiLevelType w:val="hybridMultilevel"/>
    <w:tmpl w:val="33280A04"/>
    <w:lvl w:ilvl="0" w:tplc="8E362B3A">
      <w:start w:val="1"/>
      <w:numFmt w:val="decimal"/>
      <w:lvlText w:val="%1."/>
      <w:lvlJc w:val="left"/>
      <w:pPr>
        <w:ind w:left="720" w:hanging="360"/>
      </w:pPr>
      <w:rPr>
        <w:rFonts w:asciiTheme="minorHAnsi" w:eastAsiaTheme="minorHAnsi" w:hAnsiTheme="minorHAnsi" w:cstheme="minorBidi"/>
        <w:b w:val="0"/>
        <w:bCs w:val="0"/>
        <w:i w:val="0"/>
        <w:iCs w:val="0"/>
        <w:color w:val="auto"/>
        <w:sz w:val="22"/>
        <w:szCs w:val="22"/>
        <w:vertAlign w:val="baseline"/>
      </w:rPr>
    </w:lvl>
    <w:lvl w:ilvl="1" w:tplc="14090019">
      <w:start w:val="1"/>
      <w:numFmt w:val="lowerLetter"/>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812BC0"/>
    <w:multiLevelType w:val="hybridMultilevel"/>
    <w:tmpl w:val="20E66E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5A2B74"/>
    <w:multiLevelType w:val="hybridMultilevel"/>
    <w:tmpl w:val="857ECC9A"/>
    <w:lvl w:ilvl="0" w:tplc="E698DF96">
      <w:numFmt w:val="bullet"/>
      <w:lvlText w:val=""/>
      <w:lvlJc w:val="left"/>
      <w:pPr>
        <w:ind w:left="2520" w:hanging="360"/>
      </w:pPr>
      <w:rPr>
        <w:rFonts w:ascii="Symbol" w:eastAsia="Times New Roman" w:hAnsi="Symbol" w:cs="Calibri"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2E1E6268"/>
    <w:multiLevelType w:val="hybridMultilevel"/>
    <w:tmpl w:val="03E23C32"/>
    <w:lvl w:ilvl="0" w:tplc="E698DF96">
      <w:numFmt w:val="bullet"/>
      <w:lvlText w:val=""/>
      <w:lvlJc w:val="left"/>
      <w:pPr>
        <w:ind w:left="1080" w:hanging="360"/>
      </w:pPr>
      <w:rPr>
        <w:rFonts w:ascii="Symbol" w:eastAsia="Times New Roman" w:hAnsi="Symbol" w:cs="Calibri" w:hint="default"/>
        <w:color w:val="00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F8C4FDD"/>
    <w:multiLevelType w:val="hybridMultilevel"/>
    <w:tmpl w:val="840E6ED4"/>
    <w:lvl w:ilvl="0" w:tplc="198A195A">
      <w:start w:val="1"/>
      <w:numFmt w:val="decimal"/>
      <w:lvlText w:val="%1."/>
      <w:lvlJc w:val="left"/>
      <w:pPr>
        <w:ind w:left="360" w:hanging="360"/>
      </w:pPr>
      <w:rPr>
        <w:rFonts w:asciiTheme="minorHAnsi" w:hAnsiTheme="minorHAns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26C0A9C"/>
    <w:multiLevelType w:val="hybridMultilevel"/>
    <w:tmpl w:val="5240C082"/>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6" w15:restartNumberingAfterBreak="0">
    <w:nsid w:val="33B90694"/>
    <w:multiLevelType w:val="hybridMultilevel"/>
    <w:tmpl w:val="39D86E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D157FA8"/>
    <w:multiLevelType w:val="hybridMultilevel"/>
    <w:tmpl w:val="99FCD424"/>
    <w:lvl w:ilvl="0" w:tplc="23549006">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F85204D"/>
    <w:multiLevelType w:val="hybridMultilevel"/>
    <w:tmpl w:val="998C0190"/>
    <w:lvl w:ilvl="0" w:tplc="77F69E78">
      <w:start w:val="1"/>
      <w:numFmt w:val="decimal"/>
      <w:lvlText w:val="%1"/>
      <w:lvlJc w:val="left"/>
      <w:pPr>
        <w:ind w:left="1440" w:hanging="720"/>
      </w:pPr>
      <w:rPr>
        <w:rFonts w:cstheme="minorHAnsi" w:hint="default"/>
        <w:color w:val="2222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12A3BD6"/>
    <w:multiLevelType w:val="multilevel"/>
    <w:tmpl w:val="61A45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F1ECC"/>
    <w:multiLevelType w:val="hybridMultilevel"/>
    <w:tmpl w:val="B2A2753A"/>
    <w:lvl w:ilvl="0" w:tplc="E8C08D3C">
      <w:start w:val="1"/>
      <w:numFmt w:val="lowerLetter"/>
      <w:lvlText w:val="(%1)"/>
      <w:lvlJc w:val="left"/>
      <w:pPr>
        <w:ind w:left="1245"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11" w15:restartNumberingAfterBreak="0">
    <w:nsid w:val="46AC05D6"/>
    <w:multiLevelType w:val="hybridMultilevel"/>
    <w:tmpl w:val="2814DCE2"/>
    <w:lvl w:ilvl="0" w:tplc="8F6E113C">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6342C2"/>
    <w:multiLevelType w:val="hybridMultilevel"/>
    <w:tmpl w:val="8ABA6F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DF53B64"/>
    <w:multiLevelType w:val="hybridMultilevel"/>
    <w:tmpl w:val="8D2C465E"/>
    <w:lvl w:ilvl="0" w:tplc="14090013">
      <w:start w:val="1"/>
      <w:numFmt w:val="upperRoman"/>
      <w:lvlText w:val="%1."/>
      <w:lvlJc w:val="right"/>
      <w:pPr>
        <w:ind w:left="885" w:hanging="360"/>
      </w:pPr>
    </w:lvl>
    <w:lvl w:ilvl="1" w:tplc="14090019" w:tentative="1">
      <w:start w:val="1"/>
      <w:numFmt w:val="lowerLetter"/>
      <w:lvlText w:val="%2."/>
      <w:lvlJc w:val="left"/>
      <w:pPr>
        <w:ind w:left="1605" w:hanging="360"/>
      </w:pPr>
    </w:lvl>
    <w:lvl w:ilvl="2" w:tplc="1409001B" w:tentative="1">
      <w:start w:val="1"/>
      <w:numFmt w:val="lowerRoman"/>
      <w:lvlText w:val="%3."/>
      <w:lvlJc w:val="right"/>
      <w:pPr>
        <w:ind w:left="2325" w:hanging="180"/>
      </w:pPr>
    </w:lvl>
    <w:lvl w:ilvl="3" w:tplc="1409000F" w:tentative="1">
      <w:start w:val="1"/>
      <w:numFmt w:val="decimal"/>
      <w:lvlText w:val="%4."/>
      <w:lvlJc w:val="left"/>
      <w:pPr>
        <w:ind w:left="3045" w:hanging="360"/>
      </w:pPr>
    </w:lvl>
    <w:lvl w:ilvl="4" w:tplc="14090019" w:tentative="1">
      <w:start w:val="1"/>
      <w:numFmt w:val="lowerLetter"/>
      <w:lvlText w:val="%5."/>
      <w:lvlJc w:val="left"/>
      <w:pPr>
        <w:ind w:left="3765" w:hanging="360"/>
      </w:pPr>
    </w:lvl>
    <w:lvl w:ilvl="5" w:tplc="1409001B" w:tentative="1">
      <w:start w:val="1"/>
      <w:numFmt w:val="lowerRoman"/>
      <w:lvlText w:val="%6."/>
      <w:lvlJc w:val="right"/>
      <w:pPr>
        <w:ind w:left="4485" w:hanging="180"/>
      </w:pPr>
    </w:lvl>
    <w:lvl w:ilvl="6" w:tplc="1409000F" w:tentative="1">
      <w:start w:val="1"/>
      <w:numFmt w:val="decimal"/>
      <w:lvlText w:val="%7."/>
      <w:lvlJc w:val="left"/>
      <w:pPr>
        <w:ind w:left="5205" w:hanging="360"/>
      </w:pPr>
    </w:lvl>
    <w:lvl w:ilvl="7" w:tplc="14090019" w:tentative="1">
      <w:start w:val="1"/>
      <w:numFmt w:val="lowerLetter"/>
      <w:lvlText w:val="%8."/>
      <w:lvlJc w:val="left"/>
      <w:pPr>
        <w:ind w:left="5925" w:hanging="360"/>
      </w:pPr>
    </w:lvl>
    <w:lvl w:ilvl="8" w:tplc="1409001B" w:tentative="1">
      <w:start w:val="1"/>
      <w:numFmt w:val="lowerRoman"/>
      <w:lvlText w:val="%9."/>
      <w:lvlJc w:val="right"/>
      <w:pPr>
        <w:ind w:left="6645" w:hanging="180"/>
      </w:pPr>
    </w:lvl>
  </w:abstractNum>
  <w:abstractNum w:abstractNumId="14" w15:restartNumberingAfterBreak="0">
    <w:nsid w:val="72C009FA"/>
    <w:multiLevelType w:val="hybridMultilevel"/>
    <w:tmpl w:val="8B9C6052"/>
    <w:lvl w:ilvl="0" w:tplc="9D041532">
      <w:start w:val="1"/>
      <w:numFmt w:val="decimal"/>
      <w:pStyle w:val="BodyText"/>
      <w:lvlText w:val="%1."/>
      <w:lvlJc w:val="left"/>
      <w:pPr>
        <w:ind w:left="720" w:hanging="360"/>
      </w:pPr>
      <w:rPr>
        <w:rFonts w:hint="default"/>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15" w15:restartNumberingAfterBreak="0">
    <w:nsid w:val="74886277"/>
    <w:multiLevelType w:val="hybridMultilevel"/>
    <w:tmpl w:val="CF6876D6"/>
    <w:lvl w:ilvl="0" w:tplc="86DE9BAC">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7F972259"/>
    <w:multiLevelType w:val="hybridMultilevel"/>
    <w:tmpl w:val="F17EF0F2"/>
    <w:lvl w:ilvl="0" w:tplc="76F656F2">
      <w:numFmt w:val="bullet"/>
      <w:lvlText w:val=""/>
      <w:lvlJc w:val="left"/>
      <w:pPr>
        <w:ind w:left="885" w:hanging="465"/>
      </w:pPr>
      <w:rPr>
        <w:rFonts w:ascii="Symbol" w:eastAsia="Times New Roman" w:hAnsi="Symbol" w:cs="Courier New"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16cid:durableId="73624355">
    <w:abstractNumId w:val="9"/>
  </w:num>
  <w:num w:numId="2" w16cid:durableId="1908570588">
    <w:abstractNumId w:val="12"/>
  </w:num>
  <w:num w:numId="3" w16cid:durableId="1470588033">
    <w:abstractNumId w:val="16"/>
  </w:num>
  <w:num w:numId="4" w16cid:durableId="638613091">
    <w:abstractNumId w:val="3"/>
  </w:num>
  <w:num w:numId="5" w16cid:durableId="657224684">
    <w:abstractNumId w:val="2"/>
  </w:num>
  <w:num w:numId="6" w16cid:durableId="304043585">
    <w:abstractNumId w:val="6"/>
  </w:num>
  <w:num w:numId="7" w16cid:durableId="1825664454">
    <w:abstractNumId w:val="7"/>
  </w:num>
  <w:num w:numId="8" w16cid:durableId="740563045">
    <w:abstractNumId w:val="5"/>
  </w:num>
  <w:num w:numId="9" w16cid:durableId="732236550">
    <w:abstractNumId w:val="14"/>
  </w:num>
  <w:num w:numId="10" w16cid:durableId="169565696">
    <w:abstractNumId w:val="0"/>
  </w:num>
  <w:num w:numId="11" w16cid:durableId="225260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0841190">
    <w:abstractNumId w:val="11"/>
  </w:num>
  <w:num w:numId="13" w16cid:durableId="580792483">
    <w:abstractNumId w:val="13"/>
  </w:num>
  <w:num w:numId="14" w16cid:durableId="2036419908">
    <w:abstractNumId w:val="10"/>
  </w:num>
  <w:num w:numId="15" w16cid:durableId="845633365">
    <w:abstractNumId w:val="8"/>
  </w:num>
  <w:num w:numId="16" w16cid:durableId="1147017588">
    <w:abstractNumId w:val="1"/>
  </w:num>
  <w:num w:numId="17" w16cid:durableId="1817449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09"/>
    <w:rsid w:val="00012F37"/>
    <w:rsid w:val="00050B13"/>
    <w:rsid w:val="0006559C"/>
    <w:rsid w:val="0009409D"/>
    <w:rsid w:val="000F1D48"/>
    <w:rsid w:val="000F4A36"/>
    <w:rsid w:val="00136B7E"/>
    <w:rsid w:val="00163D94"/>
    <w:rsid w:val="00180DE5"/>
    <w:rsid w:val="00191C2D"/>
    <w:rsid w:val="001A785B"/>
    <w:rsid w:val="001B191A"/>
    <w:rsid w:val="001C0975"/>
    <w:rsid w:val="001C5D0D"/>
    <w:rsid w:val="001D7DA7"/>
    <w:rsid w:val="001E4A15"/>
    <w:rsid w:val="001F2CCB"/>
    <w:rsid w:val="0020724B"/>
    <w:rsid w:val="00227D5C"/>
    <w:rsid w:val="00231FFE"/>
    <w:rsid w:val="00237205"/>
    <w:rsid w:val="00255570"/>
    <w:rsid w:val="00257DE8"/>
    <w:rsid w:val="002A2451"/>
    <w:rsid w:val="002A5E98"/>
    <w:rsid w:val="002C6114"/>
    <w:rsid w:val="002E1572"/>
    <w:rsid w:val="00310300"/>
    <w:rsid w:val="00322E35"/>
    <w:rsid w:val="00334BF7"/>
    <w:rsid w:val="00337B23"/>
    <w:rsid w:val="00363DBC"/>
    <w:rsid w:val="003E615C"/>
    <w:rsid w:val="003F4743"/>
    <w:rsid w:val="003F5702"/>
    <w:rsid w:val="00416F0D"/>
    <w:rsid w:val="0043350E"/>
    <w:rsid w:val="00442992"/>
    <w:rsid w:val="00445D7C"/>
    <w:rsid w:val="00460882"/>
    <w:rsid w:val="00461652"/>
    <w:rsid w:val="00462CF8"/>
    <w:rsid w:val="00465A58"/>
    <w:rsid w:val="00475DC7"/>
    <w:rsid w:val="00480ECD"/>
    <w:rsid w:val="004B6752"/>
    <w:rsid w:val="004C2C3A"/>
    <w:rsid w:val="004C2F6C"/>
    <w:rsid w:val="004E2DAB"/>
    <w:rsid w:val="004E64A0"/>
    <w:rsid w:val="00500480"/>
    <w:rsid w:val="00506209"/>
    <w:rsid w:val="00510588"/>
    <w:rsid w:val="00513100"/>
    <w:rsid w:val="005139BC"/>
    <w:rsid w:val="00514B0E"/>
    <w:rsid w:val="00533F27"/>
    <w:rsid w:val="005349D0"/>
    <w:rsid w:val="00552DC2"/>
    <w:rsid w:val="00560560"/>
    <w:rsid w:val="00591F08"/>
    <w:rsid w:val="005936FC"/>
    <w:rsid w:val="005D335A"/>
    <w:rsid w:val="005E6704"/>
    <w:rsid w:val="00615A13"/>
    <w:rsid w:val="00654EB7"/>
    <w:rsid w:val="0065514C"/>
    <w:rsid w:val="0066064E"/>
    <w:rsid w:val="00663047"/>
    <w:rsid w:val="00675E54"/>
    <w:rsid w:val="00693923"/>
    <w:rsid w:val="006A0D9E"/>
    <w:rsid w:val="006A50E7"/>
    <w:rsid w:val="006A6AB2"/>
    <w:rsid w:val="006C4BBA"/>
    <w:rsid w:val="006D5A56"/>
    <w:rsid w:val="006E1D43"/>
    <w:rsid w:val="00700DCA"/>
    <w:rsid w:val="00710366"/>
    <w:rsid w:val="00720825"/>
    <w:rsid w:val="00726416"/>
    <w:rsid w:val="0072778F"/>
    <w:rsid w:val="00730F53"/>
    <w:rsid w:val="00745A50"/>
    <w:rsid w:val="0075397A"/>
    <w:rsid w:val="00756A3E"/>
    <w:rsid w:val="00790F5F"/>
    <w:rsid w:val="007B2ADE"/>
    <w:rsid w:val="007C3FD3"/>
    <w:rsid w:val="007D5571"/>
    <w:rsid w:val="007E0750"/>
    <w:rsid w:val="007E794C"/>
    <w:rsid w:val="00823114"/>
    <w:rsid w:val="008259D4"/>
    <w:rsid w:val="00835225"/>
    <w:rsid w:val="008558BE"/>
    <w:rsid w:val="008663C2"/>
    <w:rsid w:val="008717D1"/>
    <w:rsid w:val="00875082"/>
    <w:rsid w:val="00880CBD"/>
    <w:rsid w:val="008864C6"/>
    <w:rsid w:val="008A7B79"/>
    <w:rsid w:val="008B7F73"/>
    <w:rsid w:val="008C3652"/>
    <w:rsid w:val="008C5550"/>
    <w:rsid w:val="008E6BAA"/>
    <w:rsid w:val="009106FE"/>
    <w:rsid w:val="00924001"/>
    <w:rsid w:val="0093252E"/>
    <w:rsid w:val="00932563"/>
    <w:rsid w:val="00937D01"/>
    <w:rsid w:val="00952814"/>
    <w:rsid w:val="009A74EE"/>
    <w:rsid w:val="009C240E"/>
    <w:rsid w:val="009D3B03"/>
    <w:rsid w:val="009E225A"/>
    <w:rsid w:val="009E67CC"/>
    <w:rsid w:val="00A04758"/>
    <w:rsid w:val="00A13858"/>
    <w:rsid w:val="00A242F4"/>
    <w:rsid w:val="00A2553F"/>
    <w:rsid w:val="00A556DF"/>
    <w:rsid w:val="00A7201A"/>
    <w:rsid w:val="00A83CDD"/>
    <w:rsid w:val="00AD0CF1"/>
    <w:rsid w:val="00AD4169"/>
    <w:rsid w:val="00AD4C12"/>
    <w:rsid w:val="00AD5B7C"/>
    <w:rsid w:val="00AE0DAD"/>
    <w:rsid w:val="00AE76D2"/>
    <w:rsid w:val="00AF1E02"/>
    <w:rsid w:val="00B015B9"/>
    <w:rsid w:val="00B02776"/>
    <w:rsid w:val="00B045BB"/>
    <w:rsid w:val="00B06FD1"/>
    <w:rsid w:val="00B203E9"/>
    <w:rsid w:val="00B2169D"/>
    <w:rsid w:val="00B22E52"/>
    <w:rsid w:val="00B46913"/>
    <w:rsid w:val="00B62005"/>
    <w:rsid w:val="00B6614C"/>
    <w:rsid w:val="00B66B72"/>
    <w:rsid w:val="00B73041"/>
    <w:rsid w:val="00B87B61"/>
    <w:rsid w:val="00B90A6B"/>
    <w:rsid w:val="00BD25A3"/>
    <w:rsid w:val="00BD4726"/>
    <w:rsid w:val="00BE410F"/>
    <w:rsid w:val="00BE6DCE"/>
    <w:rsid w:val="00C00629"/>
    <w:rsid w:val="00C122A4"/>
    <w:rsid w:val="00C203BE"/>
    <w:rsid w:val="00C2741F"/>
    <w:rsid w:val="00C30AAE"/>
    <w:rsid w:val="00C32FA5"/>
    <w:rsid w:val="00C462BB"/>
    <w:rsid w:val="00C47389"/>
    <w:rsid w:val="00C63D13"/>
    <w:rsid w:val="00C82ECC"/>
    <w:rsid w:val="00C936D3"/>
    <w:rsid w:val="00CC165A"/>
    <w:rsid w:val="00CC1919"/>
    <w:rsid w:val="00CC5D5D"/>
    <w:rsid w:val="00CE4F91"/>
    <w:rsid w:val="00CE7298"/>
    <w:rsid w:val="00D04920"/>
    <w:rsid w:val="00D14AB4"/>
    <w:rsid w:val="00D247A9"/>
    <w:rsid w:val="00D31BFE"/>
    <w:rsid w:val="00D34282"/>
    <w:rsid w:val="00D405BF"/>
    <w:rsid w:val="00D40663"/>
    <w:rsid w:val="00D435D3"/>
    <w:rsid w:val="00D45D41"/>
    <w:rsid w:val="00D755BC"/>
    <w:rsid w:val="00DC70B0"/>
    <w:rsid w:val="00DE0E66"/>
    <w:rsid w:val="00DE6358"/>
    <w:rsid w:val="00DF58D3"/>
    <w:rsid w:val="00E133A0"/>
    <w:rsid w:val="00E3039D"/>
    <w:rsid w:val="00E523B8"/>
    <w:rsid w:val="00E54F19"/>
    <w:rsid w:val="00E62DC6"/>
    <w:rsid w:val="00E70E1E"/>
    <w:rsid w:val="00E74D82"/>
    <w:rsid w:val="00EA06B9"/>
    <w:rsid w:val="00EB3185"/>
    <w:rsid w:val="00EC1224"/>
    <w:rsid w:val="00ED0793"/>
    <w:rsid w:val="00F15146"/>
    <w:rsid w:val="00F23AA2"/>
    <w:rsid w:val="00F44521"/>
    <w:rsid w:val="00F51635"/>
    <w:rsid w:val="00F51FB2"/>
    <w:rsid w:val="00F71C37"/>
    <w:rsid w:val="00F83FF0"/>
    <w:rsid w:val="00F90AB6"/>
    <w:rsid w:val="00F92441"/>
    <w:rsid w:val="00FA2C00"/>
    <w:rsid w:val="00FA3FB0"/>
    <w:rsid w:val="00FC6300"/>
    <w:rsid w:val="00FC6D54"/>
    <w:rsid w:val="00FD557F"/>
    <w:rsid w:val="00FD576E"/>
    <w:rsid w:val="00FD7FF0"/>
    <w:rsid w:val="00FE25F9"/>
  </w:rsids>
  <m:mathPr>
    <m:mathFont m:val="Cambria Math"/>
    <m:brkBin m:val="before"/>
    <m:brkBinSub m:val="--"/>
    <m:smallFrac m:val="0"/>
    <m:dispDef/>
    <m:lMargin m:val="0"/>
    <m:rMargin m:val="0"/>
    <m:defJc m:val="centerGroup"/>
    <m:wrapIndent m:val="1440"/>
    <m:intLim m:val="subSup"/>
    <m:naryLim m:val="undOvr"/>
  </m:mathPr>
  <w:themeFontLang w:val="en-N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7E06"/>
  <w15:docId w15:val="{4A7BE6F5-C448-474E-8DFA-FB6A6A4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9D"/>
    <w:pPr>
      <w:spacing w:after="200" w:line="276" w:lineRule="auto"/>
    </w:pPr>
    <w:rPr>
      <w:sz w:val="22"/>
      <w:szCs w:val="22"/>
      <w:lang w:eastAsia="en-US"/>
    </w:rPr>
  </w:style>
  <w:style w:type="paragraph" w:styleId="Heading3">
    <w:name w:val="heading 3"/>
    <w:basedOn w:val="Normal"/>
    <w:link w:val="Heading3Char"/>
    <w:uiPriority w:val="9"/>
    <w:qFormat/>
    <w:rsid w:val="00A242F4"/>
    <w:pPr>
      <w:spacing w:before="100" w:beforeAutospacing="1" w:after="100" w:afterAutospacing="1" w:line="240" w:lineRule="auto"/>
      <w:outlineLvl w:val="2"/>
    </w:pPr>
    <w:rPr>
      <w:rFonts w:ascii="Times New Roman" w:eastAsia="Times New Roman" w:hAnsi="Times New Roman" w:cs="Times New Roman"/>
      <w:b/>
      <w:bCs/>
      <w:sz w:val="27"/>
      <w:szCs w:val="27"/>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character" w:customStyle="1" w:styleId="Heading3Char">
    <w:name w:val="Heading 3 Char"/>
    <w:basedOn w:val="DefaultParagraphFont"/>
    <w:link w:val="Heading3"/>
    <w:uiPriority w:val="9"/>
    <w:rsid w:val="00A242F4"/>
    <w:rPr>
      <w:rFonts w:ascii="Times New Roman" w:eastAsia="Times New Roman" w:hAnsi="Times New Roman" w:cs="Times New Roman"/>
      <w:b/>
      <w:bCs/>
      <w:sz w:val="27"/>
      <w:szCs w:val="27"/>
      <w:lang w:bidi="ar-SA"/>
    </w:rPr>
  </w:style>
  <w:style w:type="character" w:customStyle="1" w:styleId="background-details">
    <w:name w:val="background-details"/>
    <w:basedOn w:val="DefaultParagraphFont"/>
    <w:rsid w:val="00A242F4"/>
  </w:style>
  <w:style w:type="paragraph" w:customStyle="1" w:styleId="visually-hidden">
    <w:name w:val="visually-hidden"/>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customStyle="1" w:styleId="pv-entitysecondary-title">
    <w:name w:val="pv-entity__secondary-title"/>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customStyle="1" w:styleId="pv-entitydescription">
    <w:name w:val="pv-entity__description"/>
    <w:basedOn w:val="Normal"/>
    <w:rsid w:val="00A242F4"/>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styleId="ListParagraph">
    <w:name w:val="List Paragraph"/>
    <w:basedOn w:val="Normal"/>
    <w:link w:val="ListParagraphChar"/>
    <w:uiPriority w:val="34"/>
    <w:qFormat/>
    <w:rsid w:val="00D405BF"/>
    <w:pPr>
      <w:spacing w:after="160" w:line="259" w:lineRule="auto"/>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DE0E66"/>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iPriority w:val="99"/>
    <w:unhideWhenUsed/>
    <w:qFormat/>
    <w:rsid w:val="00DE0E66"/>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DE0E66"/>
    <w:rPr>
      <w:rFonts w:asciiTheme="minorHAnsi" w:eastAsiaTheme="minorHAnsi" w:hAnsiTheme="minorHAnsi" w:cstheme="minorBidi"/>
      <w:lang w:eastAsia="en-US" w:bidi="ar-SA"/>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iPriority w:val="99"/>
    <w:unhideWhenUsed/>
    <w:qFormat/>
    <w:rsid w:val="00DE0E66"/>
    <w:rPr>
      <w:vertAlign w:val="superscript"/>
    </w:rPr>
  </w:style>
  <w:style w:type="paragraph" w:styleId="NoSpacing">
    <w:name w:val="No Spacing"/>
    <w:uiPriority w:val="1"/>
    <w:qFormat/>
    <w:rsid w:val="00DE0E66"/>
    <w:rPr>
      <w:rFonts w:asciiTheme="minorHAnsi" w:eastAsiaTheme="minorHAnsi" w:hAnsiTheme="minorHAnsi" w:cstheme="minorBidi"/>
      <w:sz w:val="22"/>
      <w:szCs w:val="22"/>
      <w:lang w:eastAsia="en-US"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A7B79"/>
    <w:pPr>
      <w:spacing w:after="160" w:line="240" w:lineRule="exact"/>
      <w:jc w:val="both"/>
    </w:pPr>
    <w:rPr>
      <w:sz w:val="20"/>
      <w:szCs w:val="20"/>
      <w:vertAlign w:val="superscript"/>
      <w:lang w:eastAsia="en-NZ"/>
    </w:rPr>
  </w:style>
  <w:style w:type="paragraph" w:customStyle="1" w:styleId="Default">
    <w:name w:val="Default"/>
    <w:rsid w:val="00337B23"/>
    <w:pPr>
      <w:autoSpaceDE w:val="0"/>
      <w:autoSpaceDN w:val="0"/>
      <w:adjustRightInd w:val="0"/>
    </w:pPr>
    <w:rPr>
      <w:rFonts w:ascii="Arial" w:hAnsi="Arial"/>
      <w:color w:val="000000"/>
      <w:sz w:val="24"/>
      <w:szCs w:val="24"/>
      <w:lang w:bidi="ar-SA"/>
    </w:rPr>
  </w:style>
  <w:style w:type="character" w:customStyle="1" w:styleId="ListParagraphChar">
    <w:name w:val="List Paragraph Char"/>
    <w:link w:val="ListParagraph"/>
    <w:uiPriority w:val="34"/>
    <w:locked/>
    <w:rsid w:val="00533F27"/>
    <w:rPr>
      <w:rFonts w:asciiTheme="minorHAnsi" w:eastAsiaTheme="minorHAnsi" w:hAnsiTheme="minorHAnsi" w:cstheme="minorBidi"/>
      <w:sz w:val="22"/>
      <w:szCs w:val="22"/>
      <w:lang w:eastAsia="en-US" w:bidi="ar-SA"/>
    </w:rPr>
  </w:style>
  <w:style w:type="paragraph" w:styleId="BodyText">
    <w:name w:val="Body Text"/>
    <w:basedOn w:val="Normal"/>
    <w:link w:val="BodyTextChar"/>
    <w:uiPriority w:val="99"/>
    <w:unhideWhenUsed/>
    <w:rsid w:val="00533F27"/>
    <w:pPr>
      <w:numPr>
        <w:numId w:val="9"/>
      </w:numPr>
      <w:spacing w:after="120" w:line="240" w:lineRule="auto"/>
    </w:pPr>
    <w:rPr>
      <w:rFonts w:eastAsiaTheme="minorHAnsi" w:cs="Calibri"/>
      <w:lang w:bidi="ar-SA"/>
    </w:rPr>
  </w:style>
  <w:style w:type="character" w:customStyle="1" w:styleId="BodyTextChar">
    <w:name w:val="Body Text Char"/>
    <w:basedOn w:val="DefaultParagraphFont"/>
    <w:link w:val="BodyText"/>
    <w:uiPriority w:val="99"/>
    <w:rsid w:val="00533F27"/>
    <w:rPr>
      <w:rFonts w:eastAsiaTheme="minorHAnsi" w:cs="Calibri"/>
      <w:sz w:val="22"/>
      <w:szCs w:val="22"/>
      <w:lang w:eastAsia="en-US" w:bidi="ar-SA"/>
    </w:rPr>
  </w:style>
  <w:style w:type="character" w:styleId="FollowedHyperlink">
    <w:name w:val="FollowedHyperlink"/>
    <w:basedOn w:val="DefaultParagraphFont"/>
    <w:uiPriority w:val="99"/>
    <w:semiHidden/>
    <w:unhideWhenUsed/>
    <w:rsid w:val="00163D94"/>
    <w:rPr>
      <w:color w:val="800080" w:themeColor="followedHyperlink"/>
      <w:u w:val="single"/>
    </w:rPr>
  </w:style>
  <w:style w:type="paragraph" w:customStyle="1" w:styleId="xmsonormal">
    <w:name w:val="x_msonormal"/>
    <w:basedOn w:val="Normal"/>
    <w:rsid w:val="00C00629"/>
    <w:pPr>
      <w:spacing w:after="0" w:line="240" w:lineRule="auto"/>
    </w:pPr>
    <w:rPr>
      <w:rFonts w:eastAsiaTheme="minorHAnsi" w:cs="Times New Roman"/>
      <w:sz w:val="24"/>
      <w:szCs w:val="24"/>
      <w:lang w:eastAsia="en-NZ" w:bidi="ar-SA"/>
    </w:rPr>
  </w:style>
  <w:style w:type="paragraph" w:styleId="EndnoteText">
    <w:name w:val="endnote text"/>
    <w:basedOn w:val="Normal"/>
    <w:link w:val="EndnoteTextChar"/>
    <w:uiPriority w:val="99"/>
    <w:semiHidden/>
    <w:unhideWhenUsed/>
    <w:rsid w:val="00416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F0D"/>
    <w:rPr>
      <w:lang w:eastAsia="en-US"/>
    </w:rPr>
  </w:style>
  <w:style w:type="character" w:styleId="EndnoteReference">
    <w:name w:val="endnote reference"/>
    <w:basedOn w:val="DefaultParagraphFont"/>
    <w:uiPriority w:val="99"/>
    <w:semiHidden/>
    <w:unhideWhenUsed/>
    <w:rsid w:val="00416F0D"/>
    <w:rPr>
      <w:vertAlign w:val="superscript"/>
    </w:rPr>
  </w:style>
  <w:style w:type="character" w:styleId="Emphasis">
    <w:name w:val="Emphasis"/>
    <w:basedOn w:val="DefaultParagraphFont"/>
    <w:uiPriority w:val="20"/>
    <w:qFormat/>
    <w:rsid w:val="00012F37"/>
    <w:rPr>
      <w:i/>
      <w:iCs/>
    </w:rPr>
  </w:style>
  <w:style w:type="paragraph" w:styleId="CommentText">
    <w:name w:val="annotation text"/>
    <w:basedOn w:val="Normal"/>
    <w:link w:val="CommentTextChar"/>
    <w:uiPriority w:val="99"/>
    <w:unhideWhenUsed/>
    <w:rsid w:val="00AF1E02"/>
    <w:pPr>
      <w:spacing w:line="240" w:lineRule="auto"/>
    </w:pPr>
    <w:rPr>
      <w:sz w:val="20"/>
      <w:szCs w:val="20"/>
    </w:rPr>
  </w:style>
  <w:style w:type="character" w:customStyle="1" w:styleId="CommentTextChar">
    <w:name w:val="Comment Text Char"/>
    <w:basedOn w:val="DefaultParagraphFont"/>
    <w:link w:val="CommentText"/>
    <w:uiPriority w:val="99"/>
    <w:rsid w:val="00AF1E02"/>
    <w:rPr>
      <w:lang w:eastAsia="en-US"/>
    </w:rPr>
  </w:style>
  <w:style w:type="character" w:customStyle="1" w:styleId="UnresolvedMention1">
    <w:name w:val="Unresolved Mention1"/>
    <w:basedOn w:val="DefaultParagraphFont"/>
    <w:uiPriority w:val="99"/>
    <w:semiHidden/>
    <w:unhideWhenUsed/>
    <w:rsid w:val="00AD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0091">
      <w:bodyDiv w:val="1"/>
      <w:marLeft w:val="0"/>
      <w:marRight w:val="0"/>
      <w:marTop w:val="0"/>
      <w:marBottom w:val="0"/>
      <w:divBdr>
        <w:top w:val="none" w:sz="0" w:space="0" w:color="auto"/>
        <w:left w:val="none" w:sz="0" w:space="0" w:color="auto"/>
        <w:bottom w:val="none" w:sz="0" w:space="0" w:color="auto"/>
        <w:right w:val="none" w:sz="0" w:space="0" w:color="auto"/>
      </w:divBdr>
    </w:div>
    <w:div w:id="387458526">
      <w:bodyDiv w:val="1"/>
      <w:marLeft w:val="0"/>
      <w:marRight w:val="0"/>
      <w:marTop w:val="0"/>
      <w:marBottom w:val="0"/>
      <w:divBdr>
        <w:top w:val="none" w:sz="0" w:space="0" w:color="auto"/>
        <w:left w:val="none" w:sz="0" w:space="0" w:color="auto"/>
        <w:bottom w:val="none" w:sz="0" w:space="0" w:color="auto"/>
        <w:right w:val="none" w:sz="0" w:space="0" w:color="auto"/>
      </w:divBdr>
    </w:div>
    <w:div w:id="394201581">
      <w:bodyDiv w:val="1"/>
      <w:marLeft w:val="0"/>
      <w:marRight w:val="0"/>
      <w:marTop w:val="0"/>
      <w:marBottom w:val="0"/>
      <w:divBdr>
        <w:top w:val="none" w:sz="0" w:space="0" w:color="auto"/>
        <w:left w:val="none" w:sz="0" w:space="0" w:color="auto"/>
        <w:bottom w:val="none" w:sz="0" w:space="0" w:color="auto"/>
        <w:right w:val="none" w:sz="0" w:space="0" w:color="auto"/>
      </w:divBdr>
    </w:div>
    <w:div w:id="616109645">
      <w:bodyDiv w:val="1"/>
      <w:marLeft w:val="0"/>
      <w:marRight w:val="0"/>
      <w:marTop w:val="0"/>
      <w:marBottom w:val="0"/>
      <w:divBdr>
        <w:top w:val="none" w:sz="0" w:space="0" w:color="auto"/>
        <w:left w:val="none" w:sz="0" w:space="0" w:color="auto"/>
        <w:bottom w:val="none" w:sz="0" w:space="0" w:color="auto"/>
        <w:right w:val="none" w:sz="0" w:space="0" w:color="auto"/>
      </w:divBdr>
    </w:div>
    <w:div w:id="1059473466">
      <w:bodyDiv w:val="1"/>
      <w:marLeft w:val="0"/>
      <w:marRight w:val="0"/>
      <w:marTop w:val="0"/>
      <w:marBottom w:val="0"/>
      <w:divBdr>
        <w:top w:val="none" w:sz="0" w:space="0" w:color="auto"/>
        <w:left w:val="none" w:sz="0" w:space="0" w:color="auto"/>
        <w:bottom w:val="none" w:sz="0" w:space="0" w:color="auto"/>
        <w:right w:val="none" w:sz="0" w:space="0" w:color="auto"/>
      </w:divBdr>
    </w:div>
    <w:div w:id="1500080147">
      <w:bodyDiv w:val="1"/>
      <w:marLeft w:val="0"/>
      <w:marRight w:val="0"/>
      <w:marTop w:val="0"/>
      <w:marBottom w:val="0"/>
      <w:divBdr>
        <w:top w:val="none" w:sz="0" w:space="0" w:color="auto"/>
        <w:left w:val="none" w:sz="0" w:space="0" w:color="auto"/>
        <w:bottom w:val="none" w:sz="0" w:space="0" w:color="auto"/>
        <w:right w:val="none" w:sz="0" w:space="0" w:color="auto"/>
      </w:divBdr>
      <w:divsChild>
        <w:div w:id="1829325895">
          <w:marLeft w:val="0"/>
          <w:marRight w:val="0"/>
          <w:marTop w:val="0"/>
          <w:marBottom w:val="0"/>
          <w:divBdr>
            <w:top w:val="none" w:sz="0" w:space="0" w:color="auto"/>
            <w:left w:val="none" w:sz="0" w:space="0" w:color="auto"/>
            <w:bottom w:val="none" w:sz="0" w:space="0" w:color="auto"/>
            <w:right w:val="none" w:sz="0" w:space="0" w:color="auto"/>
          </w:divBdr>
        </w:div>
      </w:divsChild>
    </w:div>
    <w:div w:id="1820881648">
      <w:bodyDiv w:val="1"/>
      <w:marLeft w:val="0"/>
      <w:marRight w:val="0"/>
      <w:marTop w:val="0"/>
      <w:marBottom w:val="0"/>
      <w:divBdr>
        <w:top w:val="none" w:sz="0" w:space="0" w:color="auto"/>
        <w:left w:val="none" w:sz="0" w:space="0" w:color="auto"/>
        <w:bottom w:val="none" w:sz="0" w:space="0" w:color="auto"/>
        <w:right w:val="none" w:sz="0" w:space="0" w:color="auto"/>
      </w:divBdr>
    </w:div>
    <w:div w:id="19202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9DF8.B071AE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parliament.nz/sites/default/files/201903/imm_interim_implementation_report_final.pdf" TargetMode="External"/><Relationship Id="rId3" Type="http://schemas.openxmlformats.org/officeDocument/2006/relationships/hyperlink" Target="https://www.educationcounts.govt.nz/statistics/school-rolls" TargetMode="External"/><Relationship Id="rId7" Type="http://schemas.openxmlformats.org/officeDocument/2006/relationships/hyperlink" Target="https://www.abuseincare.org.nz/our-progress/library/v/146/statement-of-ihc-trish-grant-for-state-redress-hearing" TargetMode="External"/><Relationship Id="rId2" Type="http://schemas.openxmlformats.org/officeDocument/2006/relationships/hyperlink" Target="https://ihc.org.nz/sites/default/files/documents/220715%202022%20IHC%20Inclusive%20Education%20Survey.pdf" TargetMode="External"/><Relationship Id="rId1" Type="http://schemas.openxmlformats.org/officeDocument/2006/relationships/hyperlink" Target="https://conversation.education.govt.nz/assets/TSR/Tomorrows-Schools-Review-Report-13Dec2018.PDF" TargetMode="External"/><Relationship Id="rId6" Type="http://schemas.openxmlformats.org/officeDocument/2006/relationships/hyperlink" Target="https://www.beehive.govt.nz/release/government-build-new-schools-and-classrooms-100000-students" TargetMode="External"/><Relationship Id="rId5" Type="http://schemas.openxmlformats.org/officeDocument/2006/relationships/hyperlink" Target="https://assets.education.govt.nz/public/Documents/Ministry/Budgets/Budget2019/NEGP/AucklandTaiTokerauplans.pdf" TargetMode="External"/><Relationship Id="rId4" Type="http://schemas.openxmlformats.org/officeDocument/2006/relationships/hyperlink" Target="https://assets.education.govt.nz/public/Documents/our-work/information-releases/Advice-Seen-by-our-Ministers/September-2021/Cabinet-Paper-material_Redacted.pdf" TargetMode="External"/><Relationship Id="rId9" Type="http://schemas.openxmlformats.org/officeDocument/2006/relationships/hyperlink" Target="https://www.ombudsman.parliament.nz/resources/making-disability-rights-real-2014-20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A5EBB8-7A2A-46B7-8F2F-B58CC557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c:creator>
  <cp:lastModifiedBy>Heather Lear</cp:lastModifiedBy>
  <cp:revision>2</cp:revision>
  <cp:lastPrinted>2022-07-22T04:39:00Z</cp:lastPrinted>
  <dcterms:created xsi:type="dcterms:W3CDTF">2023-11-21T08:45:00Z</dcterms:created>
  <dcterms:modified xsi:type="dcterms:W3CDTF">2023-11-21T08:45:00Z</dcterms:modified>
</cp:coreProperties>
</file>